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E1" w:rsidRDefault="001560E1" w:rsidP="009B03AB">
      <w:pPr>
        <w:tabs>
          <w:tab w:val="left" w:pos="480"/>
        </w:tabs>
        <w:ind w:left="426" w:right="-648"/>
        <w:jc w:val="center"/>
        <w:rPr>
          <w:rFonts w:ascii="Arial Black" w:hAnsi="Arial Black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-19.35pt;margin-top:-19.55pt;width:65pt;height:92.5pt;z-index:251655168;visibility:visible;mso-wrap-distance-left:9.05pt;mso-wrap-distance-right:9.05pt" filled="t">
            <v:imagedata r:id="rId5" o:title=""/>
          </v:shape>
        </w:pict>
      </w:r>
      <w:r>
        <w:rPr>
          <w:rFonts w:ascii="Arial Black" w:hAnsi="Arial Black"/>
          <w:b/>
          <w:sz w:val="36"/>
          <w:szCs w:val="36"/>
        </w:rPr>
        <w:t>INTERESSEMENT</w:t>
      </w:r>
    </w:p>
    <w:p w:rsidR="001560E1" w:rsidRDefault="001560E1" w:rsidP="009B03AB">
      <w:pPr>
        <w:tabs>
          <w:tab w:val="left" w:pos="480"/>
        </w:tabs>
        <w:ind w:left="426" w:right="-648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La CGT Soitec arrache un accord plus juste</w:t>
      </w:r>
    </w:p>
    <w:p w:rsidR="001560E1" w:rsidRDefault="001560E1" w:rsidP="009B03AB">
      <w:pPr>
        <w:tabs>
          <w:tab w:val="left" w:pos="480"/>
        </w:tabs>
        <w:ind w:left="426" w:right="-648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dans un contexte particulièrement glissant…  </w:t>
      </w:r>
    </w:p>
    <w:p w:rsidR="001560E1" w:rsidRDefault="001560E1" w:rsidP="00F116A6">
      <w:pPr>
        <w:tabs>
          <w:tab w:val="left" w:pos="480"/>
        </w:tabs>
        <w:jc w:val="center"/>
        <w:rPr>
          <w:rFonts w:ascii="Calibri" w:hAnsi="Calibri"/>
          <w:sz w:val="22"/>
          <w:szCs w:val="22"/>
        </w:rPr>
      </w:pPr>
    </w:p>
    <w:p w:rsidR="001560E1" w:rsidRDefault="001560E1" w:rsidP="00F116A6">
      <w:pPr>
        <w:tabs>
          <w:tab w:val="left" w:pos="480"/>
        </w:tabs>
        <w:jc w:val="center"/>
        <w:rPr>
          <w:rFonts w:ascii="Calibri" w:hAnsi="Calibri"/>
          <w:sz w:val="22"/>
          <w:szCs w:val="22"/>
        </w:rPr>
      </w:pPr>
    </w:p>
    <w:p w:rsidR="001560E1" w:rsidRPr="002815DA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Pr="002815DA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Le mardi 17</w:t>
      </w:r>
      <w:r w:rsidRPr="002815DA">
        <w:rPr>
          <w:rFonts w:ascii="Calibri" w:hAnsi="Calibri"/>
          <w:sz w:val="22"/>
          <w:szCs w:val="22"/>
        </w:rPr>
        <w:t xml:space="preserve"> mai s’est déroulée </w:t>
      </w:r>
      <w:r>
        <w:rPr>
          <w:rFonts w:ascii="Calibri" w:hAnsi="Calibri"/>
          <w:sz w:val="22"/>
          <w:szCs w:val="22"/>
        </w:rPr>
        <w:t>la dernière</w:t>
      </w:r>
      <w:r w:rsidRPr="002815DA">
        <w:rPr>
          <w:rFonts w:ascii="Calibri" w:hAnsi="Calibri"/>
          <w:sz w:val="22"/>
          <w:szCs w:val="22"/>
        </w:rPr>
        <w:t xml:space="preserve"> réunion de négociation de l’accord d’intéressement. La</w:t>
      </w:r>
      <w:r>
        <w:rPr>
          <w:rFonts w:ascii="Calibri" w:hAnsi="Calibri"/>
          <w:sz w:val="22"/>
          <w:szCs w:val="22"/>
        </w:rPr>
        <w:t xml:space="preserve"> </w:t>
      </w:r>
      <w:r w:rsidRPr="002815DA">
        <w:rPr>
          <w:rFonts w:ascii="Calibri" w:hAnsi="Calibri"/>
          <w:sz w:val="22"/>
          <w:szCs w:val="22"/>
        </w:rPr>
        <w:t>CGT Soitec insiste sur le fait qu’avec l’augmentation significative de l’enveloppe globale d’intéressement par rapport à l’accord précédent</w:t>
      </w:r>
      <w:r>
        <w:rPr>
          <w:rFonts w:ascii="Calibri" w:hAnsi="Calibri"/>
          <w:sz w:val="22"/>
          <w:szCs w:val="22"/>
        </w:rPr>
        <w:t xml:space="preserve"> (cf. tableau ci-dessous)</w:t>
      </w:r>
      <w:r w:rsidRPr="002815DA">
        <w:rPr>
          <w:rFonts w:ascii="Calibri" w:hAnsi="Calibri"/>
          <w:sz w:val="22"/>
          <w:szCs w:val="22"/>
        </w:rPr>
        <w:t xml:space="preserve">, </w:t>
      </w:r>
      <w:r w:rsidRPr="00CE6630">
        <w:rPr>
          <w:rFonts w:ascii="Calibri" w:hAnsi="Calibri"/>
          <w:b/>
          <w:sz w:val="22"/>
          <w:szCs w:val="22"/>
        </w:rPr>
        <w:t>la quasi-totalité des salariés de Soitec sont bénéficiaires dans le cadre de cette négociation</w:t>
      </w:r>
      <w:r w:rsidRPr="002815DA">
        <w:rPr>
          <w:rFonts w:ascii="Calibri" w:hAnsi="Calibri"/>
          <w:sz w:val="22"/>
          <w:szCs w:val="22"/>
        </w:rPr>
        <w:t xml:space="preserve">. Comme vous le savez, </w:t>
      </w:r>
      <w:r w:rsidRPr="00CE6630">
        <w:rPr>
          <w:rFonts w:ascii="Calibri" w:hAnsi="Calibri"/>
          <w:b/>
          <w:sz w:val="22"/>
          <w:szCs w:val="22"/>
        </w:rPr>
        <w:t>les quelques personnes restantes bénéficieront d’autres mesures de rétribution  plus qu’attrayantes</w:t>
      </w:r>
      <w:r w:rsidRPr="002815DA">
        <w:rPr>
          <w:rFonts w:ascii="Calibri" w:hAnsi="Calibri"/>
          <w:sz w:val="22"/>
          <w:szCs w:val="22"/>
        </w:rPr>
        <w:t>. Nous y reviendrons…</w:t>
      </w:r>
    </w:p>
    <w:p w:rsidR="001560E1" w:rsidRPr="002815DA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2815DA">
        <w:rPr>
          <w:rFonts w:ascii="Calibri" w:hAnsi="Calibri"/>
          <w:sz w:val="22"/>
          <w:szCs w:val="22"/>
        </w:rPr>
        <w:t xml:space="preserve">Les deux axes prioritaires sur lesquels notre syndicat </w:t>
      </w:r>
      <w:r>
        <w:rPr>
          <w:rFonts w:ascii="Calibri" w:hAnsi="Calibri"/>
          <w:sz w:val="22"/>
          <w:szCs w:val="22"/>
        </w:rPr>
        <w:t xml:space="preserve">a pesé de tout son poids </w:t>
      </w:r>
      <w:r w:rsidRPr="002815DA">
        <w:rPr>
          <w:rFonts w:ascii="Calibri" w:hAnsi="Calibri"/>
          <w:sz w:val="22"/>
          <w:szCs w:val="22"/>
        </w:rPr>
        <w:t>sont</w:t>
      </w:r>
      <w:r>
        <w:rPr>
          <w:rFonts w:ascii="Calibri" w:hAnsi="Calibri"/>
          <w:sz w:val="22"/>
          <w:szCs w:val="22"/>
        </w:rPr>
        <w:t xml:space="preserve"> : </w:t>
      </w:r>
      <w:r w:rsidRPr="00B941BB">
        <w:rPr>
          <w:rFonts w:ascii="Calibri" w:hAnsi="Calibri"/>
          <w:b/>
          <w:sz w:val="22"/>
          <w:szCs w:val="22"/>
        </w:rPr>
        <w:t xml:space="preserve">l’augmentation significative de l’enveloppe </w:t>
      </w:r>
      <w:r w:rsidRPr="00014F62">
        <w:rPr>
          <w:rFonts w:ascii="Calibri" w:hAnsi="Calibri"/>
          <w:sz w:val="22"/>
          <w:szCs w:val="22"/>
        </w:rPr>
        <w:t>et</w:t>
      </w:r>
      <w:r w:rsidRPr="00B941BB">
        <w:rPr>
          <w:rFonts w:ascii="Calibri" w:hAnsi="Calibri"/>
          <w:b/>
          <w:sz w:val="22"/>
          <w:szCs w:val="22"/>
        </w:rPr>
        <w:t xml:space="preserve"> la modification de la répartition</w:t>
      </w:r>
      <w:r w:rsidRPr="002815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historiquement</w:t>
      </w:r>
      <w:r w:rsidRPr="002815DA">
        <w:rPr>
          <w:rFonts w:ascii="Calibri" w:hAnsi="Calibri"/>
          <w:sz w:val="22"/>
          <w:szCs w:val="22"/>
        </w:rPr>
        <w:t xml:space="preserve"> inéquitable à Soitec. Il est donc dommage qu’une </w:t>
      </w:r>
      <w:r>
        <w:rPr>
          <w:rFonts w:ascii="Calibri" w:hAnsi="Calibri"/>
          <w:sz w:val="22"/>
          <w:szCs w:val="22"/>
        </w:rPr>
        <w:t>fois de plus, les position</w:t>
      </w:r>
      <w:r w:rsidRPr="002815DA">
        <w:rPr>
          <w:rFonts w:ascii="Calibri" w:hAnsi="Calibri"/>
          <w:sz w:val="22"/>
          <w:szCs w:val="22"/>
        </w:rPr>
        <w:t>s de notre syndicat aient pu (bizarrement</w:t>
      </w:r>
      <w:r>
        <w:rPr>
          <w:rFonts w:ascii="Calibri" w:hAnsi="Calibri"/>
          <w:sz w:val="22"/>
          <w:szCs w:val="22"/>
        </w:rPr>
        <w:t>…</w:t>
      </w:r>
      <w:r w:rsidRPr="002815DA">
        <w:rPr>
          <w:rFonts w:ascii="Calibri" w:hAnsi="Calibri"/>
          <w:sz w:val="22"/>
          <w:szCs w:val="22"/>
        </w:rPr>
        <w:t>) être caricaturé</w:t>
      </w:r>
      <w:r>
        <w:rPr>
          <w:rFonts w:ascii="Calibri" w:hAnsi="Calibri"/>
          <w:sz w:val="22"/>
          <w:szCs w:val="22"/>
        </w:rPr>
        <w:t>es par certain</w:t>
      </w:r>
      <w:r w:rsidRPr="002815DA">
        <w:rPr>
          <w:rFonts w:ascii="Calibri" w:hAnsi="Calibri"/>
          <w:sz w:val="22"/>
          <w:szCs w:val="22"/>
        </w:rPr>
        <w:t xml:space="preserve">s sans tenir compte de l’ensemble de notre cahier de revendications. </w:t>
      </w:r>
      <w:r>
        <w:rPr>
          <w:rFonts w:ascii="Calibri" w:hAnsi="Calibri"/>
          <w:sz w:val="22"/>
          <w:szCs w:val="22"/>
        </w:rPr>
        <w:t>Au final,</w:t>
      </w:r>
      <w:r w:rsidRPr="002815DA">
        <w:rPr>
          <w:rFonts w:ascii="Calibri" w:hAnsi="Calibri"/>
          <w:sz w:val="22"/>
          <w:szCs w:val="22"/>
        </w:rPr>
        <w:t xml:space="preserve"> nous avons pu obtenir à la fois </w:t>
      </w:r>
      <w:r w:rsidRPr="00B941BB">
        <w:rPr>
          <w:rFonts w:ascii="Calibri" w:hAnsi="Calibri"/>
          <w:b/>
          <w:sz w:val="22"/>
          <w:szCs w:val="22"/>
        </w:rPr>
        <w:t xml:space="preserve">une répartition plus juste de l’enveloppe avec un gain substantiel pour </w:t>
      </w:r>
      <w:r>
        <w:rPr>
          <w:rFonts w:ascii="Calibri" w:hAnsi="Calibri"/>
          <w:b/>
          <w:sz w:val="22"/>
          <w:szCs w:val="22"/>
        </w:rPr>
        <w:t>l</w:t>
      </w:r>
      <w:r w:rsidRPr="00B941BB">
        <w:rPr>
          <w:rFonts w:ascii="Calibri" w:hAnsi="Calibri"/>
          <w:b/>
          <w:sz w:val="22"/>
          <w:szCs w:val="22"/>
        </w:rPr>
        <w:t>es salariés</w:t>
      </w:r>
      <w:r w:rsidRPr="002815DA">
        <w:rPr>
          <w:rFonts w:ascii="Calibri" w:hAnsi="Calibri"/>
          <w:sz w:val="22"/>
          <w:szCs w:val="22"/>
        </w:rPr>
        <w:t xml:space="preserve"> si l’entreprise est en mesure de dégager des marges et de redevenir rentable.</w:t>
      </w:r>
      <w:r>
        <w:rPr>
          <w:rFonts w:ascii="Calibri" w:hAnsi="Calibri"/>
          <w:sz w:val="22"/>
          <w:szCs w:val="22"/>
        </w:rPr>
        <w:t xml:space="preserve"> Comme nous n’avons cessé de le répéter, il serait</w:t>
      </w:r>
      <w:r w:rsidRPr="002815DA">
        <w:rPr>
          <w:rFonts w:ascii="Calibri" w:hAnsi="Calibri"/>
          <w:sz w:val="22"/>
          <w:szCs w:val="22"/>
        </w:rPr>
        <w:t xml:space="preserve"> tout à fait normal qu’une mise sur</w:t>
      </w:r>
      <w:r>
        <w:rPr>
          <w:rFonts w:ascii="Calibri" w:hAnsi="Calibri"/>
          <w:sz w:val="22"/>
          <w:szCs w:val="22"/>
        </w:rPr>
        <w:t xml:space="preserve"> le marché réussie du FDSOI bénéficie</w:t>
      </w:r>
      <w:r w:rsidRPr="002815DA">
        <w:rPr>
          <w:rFonts w:ascii="Calibri" w:hAnsi="Calibri"/>
          <w:sz w:val="22"/>
          <w:szCs w:val="22"/>
        </w:rPr>
        <w:t xml:space="preserve"> de manière significative à l’ensemble des salariés à l’origine d’une telle réussite.</w:t>
      </w:r>
      <w:r>
        <w:rPr>
          <w:rFonts w:ascii="Calibri" w:hAnsi="Calibri"/>
          <w:sz w:val="22"/>
          <w:szCs w:val="22"/>
        </w:rPr>
        <w:t xml:space="preserve"> Aujourd’hui, l</w:t>
      </w:r>
      <w:r w:rsidRPr="002815DA">
        <w:rPr>
          <w:rFonts w:ascii="Calibri" w:hAnsi="Calibri"/>
          <w:sz w:val="22"/>
          <w:szCs w:val="22"/>
        </w:rPr>
        <w:t xml:space="preserve">es représentants de notre syndicat sont allés au bout de ce qui était obtenable dans le cadre de cette négociation. </w:t>
      </w:r>
    </w:p>
    <w:p w:rsidR="001560E1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Pr="00BF45D4" w:rsidRDefault="001560E1" w:rsidP="00BF45D4">
      <w:pPr>
        <w:tabs>
          <w:tab w:val="left" w:pos="480"/>
        </w:tabs>
        <w:ind w:left="-426" w:right="-353"/>
        <w:jc w:val="center"/>
        <w:rPr>
          <w:rFonts w:ascii="Arial Black" w:hAnsi="Arial Black"/>
          <w:b/>
          <w:sz w:val="22"/>
          <w:szCs w:val="22"/>
        </w:rPr>
      </w:pPr>
      <w:r w:rsidRPr="00BF45D4">
        <w:rPr>
          <w:rFonts w:ascii="Arial Black" w:hAnsi="Arial Black"/>
          <w:b/>
          <w:sz w:val="22"/>
          <w:szCs w:val="22"/>
        </w:rPr>
        <w:t>Comment espérer un dialogue social apaisé avec un tel « deux poids, deux mesures »</w:t>
      </w:r>
      <w:r>
        <w:rPr>
          <w:rFonts w:ascii="Arial Black" w:hAnsi="Arial Black"/>
          <w:b/>
          <w:sz w:val="22"/>
          <w:szCs w:val="22"/>
        </w:rPr>
        <w:t xml:space="preserve"> </w:t>
      </w:r>
      <w:r w:rsidRPr="00BF45D4">
        <w:rPr>
          <w:rFonts w:ascii="Arial Black" w:hAnsi="Arial Black"/>
          <w:b/>
          <w:sz w:val="22"/>
          <w:szCs w:val="22"/>
        </w:rPr>
        <w:t>?</w:t>
      </w:r>
    </w:p>
    <w:p w:rsidR="001560E1" w:rsidRPr="002815DA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2815DA">
        <w:rPr>
          <w:rFonts w:ascii="Calibri" w:hAnsi="Calibri"/>
          <w:sz w:val="22"/>
          <w:szCs w:val="22"/>
        </w:rPr>
        <w:t>Le contexte de</w:t>
      </w:r>
      <w:r>
        <w:rPr>
          <w:rFonts w:ascii="Calibri" w:hAnsi="Calibri"/>
          <w:sz w:val="22"/>
          <w:szCs w:val="22"/>
        </w:rPr>
        <w:t xml:space="preserve"> ces réunions,</w:t>
      </w:r>
      <w:r w:rsidRPr="002815DA">
        <w:rPr>
          <w:rFonts w:ascii="Calibri" w:hAnsi="Calibri"/>
          <w:sz w:val="22"/>
          <w:szCs w:val="22"/>
        </w:rPr>
        <w:t xml:space="preserve"> marqué par ce que nous considérons comme étant </w:t>
      </w:r>
      <w:r w:rsidRPr="00F116A6">
        <w:rPr>
          <w:rFonts w:ascii="Calibri" w:hAnsi="Calibri"/>
          <w:b/>
          <w:sz w:val="22"/>
          <w:szCs w:val="22"/>
        </w:rPr>
        <w:t>un VRAI SCANDALE</w:t>
      </w:r>
      <w:r w:rsidRPr="002815DA">
        <w:rPr>
          <w:rFonts w:ascii="Calibri" w:hAnsi="Calibri"/>
          <w:sz w:val="22"/>
          <w:szCs w:val="22"/>
        </w:rPr>
        <w:t>, à savoir l’</w:t>
      </w:r>
      <w:r w:rsidRPr="00F116A6">
        <w:rPr>
          <w:rFonts w:ascii="Calibri" w:hAnsi="Calibri"/>
          <w:b/>
          <w:i/>
          <w:sz w:val="22"/>
          <w:szCs w:val="22"/>
        </w:rPr>
        <w:t>incentive plan</w:t>
      </w:r>
      <w:r w:rsidRPr="002815DA">
        <w:rPr>
          <w:rFonts w:ascii="Calibri" w:hAnsi="Calibri"/>
          <w:sz w:val="22"/>
          <w:szCs w:val="22"/>
        </w:rPr>
        <w:t xml:space="preserve">, ne nous a pas </w:t>
      </w:r>
      <w:r>
        <w:rPr>
          <w:rFonts w:ascii="Calibri" w:hAnsi="Calibri"/>
          <w:sz w:val="22"/>
          <w:szCs w:val="22"/>
        </w:rPr>
        <w:t xml:space="preserve">du tout </w:t>
      </w:r>
      <w:r w:rsidRPr="002815DA">
        <w:rPr>
          <w:rFonts w:ascii="Calibri" w:hAnsi="Calibri"/>
          <w:sz w:val="22"/>
          <w:szCs w:val="22"/>
        </w:rPr>
        <w:t>facilité la tâche</w:t>
      </w:r>
      <w:r>
        <w:rPr>
          <w:rFonts w:ascii="Calibri" w:hAnsi="Calibri"/>
          <w:sz w:val="22"/>
          <w:szCs w:val="22"/>
        </w:rPr>
        <w:t xml:space="preserve">… </w:t>
      </w:r>
      <w:r w:rsidRPr="002815DA">
        <w:rPr>
          <w:rFonts w:ascii="Calibri" w:hAnsi="Calibri"/>
          <w:sz w:val="22"/>
          <w:szCs w:val="22"/>
        </w:rPr>
        <w:t xml:space="preserve">En effet, </w:t>
      </w:r>
      <w:r>
        <w:rPr>
          <w:rFonts w:ascii="Calibri" w:hAnsi="Calibri"/>
          <w:sz w:val="22"/>
          <w:szCs w:val="22"/>
        </w:rPr>
        <w:t>énormément d’entre nous, quel</w:t>
      </w:r>
      <w:r w:rsidRPr="002815DA">
        <w:rPr>
          <w:rFonts w:ascii="Calibri" w:hAnsi="Calibri"/>
          <w:sz w:val="22"/>
          <w:szCs w:val="22"/>
        </w:rPr>
        <w:t xml:space="preserve"> que soit notre niveau de </w:t>
      </w:r>
      <w:r>
        <w:rPr>
          <w:rFonts w:ascii="Calibri" w:hAnsi="Calibri"/>
          <w:sz w:val="22"/>
          <w:szCs w:val="22"/>
        </w:rPr>
        <w:t>responsabilité et notre CSP, avons</w:t>
      </w:r>
      <w:r w:rsidRPr="002815DA">
        <w:rPr>
          <w:rFonts w:ascii="Calibri" w:hAnsi="Calibri"/>
          <w:sz w:val="22"/>
          <w:szCs w:val="22"/>
        </w:rPr>
        <w:t xml:space="preserve"> exprimé </w:t>
      </w:r>
      <w:r>
        <w:rPr>
          <w:rFonts w:ascii="Calibri" w:hAnsi="Calibri"/>
          <w:b/>
          <w:sz w:val="22"/>
          <w:szCs w:val="22"/>
        </w:rPr>
        <w:t>une colère plus que légitime. Nous estimons  aujourd’hui que cela remet</w:t>
      </w:r>
      <w:r w:rsidRPr="0075059A">
        <w:rPr>
          <w:rFonts w:ascii="Calibri" w:hAnsi="Calibri"/>
          <w:b/>
          <w:sz w:val="22"/>
          <w:szCs w:val="22"/>
        </w:rPr>
        <w:t xml:space="preserve"> en cause la dynamique de</w:t>
      </w:r>
      <w:r>
        <w:rPr>
          <w:rFonts w:ascii="Calibri" w:hAnsi="Calibri"/>
          <w:b/>
          <w:sz w:val="22"/>
          <w:szCs w:val="22"/>
        </w:rPr>
        <w:t xml:space="preserve"> soi-disant</w:t>
      </w:r>
      <w:r w:rsidRPr="0075059A">
        <w:rPr>
          <w:rFonts w:ascii="Calibri" w:hAnsi="Calibri"/>
          <w:b/>
          <w:sz w:val="22"/>
          <w:szCs w:val="22"/>
        </w:rPr>
        <w:t xml:space="preserve"> TRANSFORMATION</w:t>
      </w:r>
      <w:r w:rsidRPr="002815DA">
        <w:rPr>
          <w:rFonts w:ascii="Calibri" w:hAnsi="Calibri"/>
          <w:sz w:val="22"/>
          <w:szCs w:val="22"/>
        </w:rPr>
        <w:t xml:space="preserve"> </w:t>
      </w:r>
      <w:r w:rsidRPr="009B03AB">
        <w:rPr>
          <w:rFonts w:ascii="Calibri" w:hAnsi="Calibri"/>
          <w:b/>
          <w:sz w:val="22"/>
          <w:szCs w:val="22"/>
        </w:rPr>
        <w:t>impulsée par notre direction générale</w:t>
      </w:r>
      <w:r>
        <w:rPr>
          <w:rFonts w:ascii="Calibri" w:hAnsi="Calibri"/>
          <w:sz w:val="22"/>
          <w:szCs w:val="22"/>
        </w:rPr>
        <w:t>.</w:t>
      </w:r>
      <w:r w:rsidRPr="002815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</w:t>
      </w:r>
      <w:r w:rsidRPr="002815DA">
        <w:rPr>
          <w:rFonts w:ascii="Calibri" w:hAnsi="Calibri"/>
          <w:sz w:val="22"/>
          <w:szCs w:val="22"/>
        </w:rPr>
        <w:t xml:space="preserve">e dispositif au-delà de </w:t>
      </w:r>
      <w:r w:rsidRPr="00991358">
        <w:rPr>
          <w:rFonts w:ascii="Calibri" w:hAnsi="Calibri"/>
          <w:b/>
          <w:sz w:val="22"/>
          <w:szCs w:val="22"/>
        </w:rPr>
        <w:t>son indécence dans un contexte social plus que tendu</w:t>
      </w:r>
      <w:r w:rsidRPr="002815DA">
        <w:rPr>
          <w:rFonts w:ascii="Calibri" w:hAnsi="Calibri"/>
          <w:sz w:val="22"/>
          <w:szCs w:val="22"/>
        </w:rPr>
        <w:t xml:space="preserve"> (…) </w:t>
      </w:r>
      <w:r w:rsidRPr="0075059A">
        <w:rPr>
          <w:rFonts w:ascii="Calibri" w:hAnsi="Calibri"/>
          <w:b/>
          <w:sz w:val="22"/>
          <w:szCs w:val="22"/>
        </w:rPr>
        <w:t xml:space="preserve">constitue une FAUTE de </w:t>
      </w:r>
      <w:r>
        <w:rPr>
          <w:rFonts w:ascii="Calibri" w:hAnsi="Calibri"/>
          <w:b/>
          <w:sz w:val="22"/>
          <w:szCs w:val="22"/>
        </w:rPr>
        <w:t>nos dirigeants</w:t>
      </w:r>
      <w:r>
        <w:rPr>
          <w:rFonts w:ascii="Calibri" w:hAnsi="Calibri"/>
          <w:sz w:val="22"/>
          <w:szCs w:val="22"/>
        </w:rPr>
        <w:t>. Jusqu’alors nous leur accordions le bénéfice du doute concernant leur exemplarité…</w:t>
      </w:r>
    </w:p>
    <w:p w:rsidR="001560E1" w:rsidRDefault="001560E1" w:rsidP="00F20063">
      <w:pPr>
        <w:tabs>
          <w:tab w:val="left" w:pos="480"/>
        </w:tabs>
        <w:jc w:val="center"/>
        <w:rPr>
          <w:rFonts w:ascii="Calibri" w:hAnsi="Calibri"/>
          <w:sz w:val="22"/>
          <w:szCs w:val="22"/>
        </w:rPr>
      </w:pPr>
    </w:p>
    <w:p w:rsidR="001560E1" w:rsidRPr="006B641B" w:rsidRDefault="001560E1" w:rsidP="00F116A6">
      <w:pPr>
        <w:tabs>
          <w:tab w:val="left" w:pos="480"/>
        </w:tabs>
        <w:jc w:val="both"/>
        <w:rPr>
          <w:rFonts w:ascii="Calibri" w:hAnsi="Calibri"/>
          <w:b/>
          <w:sz w:val="22"/>
          <w:szCs w:val="22"/>
        </w:rPr>
      </w:pPr>
      <w:r w:rsidRPr="006B641B">
        <w:rPr>
          <w:rFonts w:ascii="Calibri" w:hAnsi="Calibri"/>
          <w:b/>
          <w:sz w:val="22"/>
          <w:szCs w:val="22"/>
        </w:rPr>
        <w:t>Malgré tout et dans l’intérêt des salariés, notre syndicat a réussi à obtenir des avancées significatives :</w:t>
      </w:r>
    </w:p>
    <w:p w:rsidR="001560E1" w:rsidRPr="00942E33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Pr="006B641B" w:rsidRDefault="001560E1" w:rsidP="0075059A">
      <w:pPr>
        <w:tabs>
          <w:tab w:val="left" w:pos="480"/>
        </w:tabs>
        <w:jc w:val="center"/>
        <w:rPr>
          <w:rFonts w:ascii="Calibri" w:hAnsi="Calibri"/>
          <w:b/>
          <w:sz w:val="28"/>
          <w:szCs w:val="28"/>
          <w:u w:val="single"/>
        </w:rPr>
      </w:pPr>
      <w:r w:rsidRPr="006B641B">
        <w:rPr>
          <w:rFonts w:ascii="Calibri" w:hAnsi="Calibri"/>
          <w:b/>
          <w:color w:val="FF0000"/>
          <w:sz w:val="28"/>
          <w:szCs w:val="28"/>
          <w:u w:val="single"/>
        </w:rPr>
        <w:t>Revendications CGT</w:t>
      </w:r>
      <w:r w:rsidRPr="006B641B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et</w:t>
      </w:r>
      <w:r w:rsidRPr="006B641B">
        <w:rPr>
          <w:rFonts w:ascii="Calibri" w:hAnsi="Calibri"/>
          <w:b/>
          <w:sz w:val="28"/>
          <w:szCs w:val="28"/>
          <w:u w:val="single"/>
        </w:rPr>
        <w:t xml:space="preserve"> dernières propositions de la direction</w:t>
      </w:r>
    </w:p>
    <w:p w:rsidR="001560E1" w:rsidRPr="002815DA" w:rsidRDefault="001560E1" w:rsidP="00F116A6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Pr="0021503E" w:rsidRDefault="001560E1" w:rsidP="00F116A6">
      <w:pPr>
        <w:numPr>
          <w:ilvl w:val="0"/>
          <w:numId w:val="4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 w:rsidRPr="00ED2BDB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21503E">
        <w:rPr>
          <w:rFonts w:ascii="Calibri" w:hAnsi="Calibri"/>
          <w:b/>
          <w:color w:val="FF0000"/>
          <w:sz w:val="22"/>
          <w:szCs w:val="22"/>
        </w:rPr>
        <w:t>Augmentation importante de l’enveloppe (1+2) distribuable par rapport à l’ancien accord</w:t>
      </w:r>
    </w:p>
    <w:p w:rsidR="001560E1" w:rsidRPr="002815DA" w:rsidRDefault="001560E1" w:rsidP="00F116A6">
      <w:pPr>
        <w:tabs>
          <w:tab w:val="left" w:pos="480"/>
        </w:tabs>
        <w:ind w:left="360"/>
        <w:jc w:val="both"/>
        <w:rPr>
          <w:rFonts w:ascii="Calibri" w:hAnsi="Calibri"/>
          <w:sz w:val="22"/>
          <w:szCs w:val="22"/>
        </w:rPr>
      </w:pPr>
    </w:p>
    <w:p w:rsidR="001560E1" w:rsidRPr="00AC36E7" w:rsidRDefault="001560E1" w:rsidP="00F116A6">
      <w:pPr>
        <w:numPr>
          <w:ilvl w:val="1"/>
          <w:numId w:val="4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 w:rsidRPr="00AC36E7">
        <w:rPr>
          <w:rFonts w:ascii="Calibri" w:hAnsi="Calibri"/>
          <w:sz w:val="22"/>
          <w:szCs w:val="22"/>
        </w:rPr>
        <w:t xml:space="preserve">FY17 : </w:t>
      </w:r>
      <w:r w:rsidRPr="00AC36E7">
        <w:rPr>
          <w:rFonts w:ascii="Calibri" w:hAnsi="Calibri"/>
          <w:sz w:val="22"/>
          <w:szCs w:val="22"/>
          <w:vertAlign w:val="subscript"/>
        </w:rPr>
        <w:t>~</w:t>
      </w:r>
      <w:r w:rsidRPr="00AC36E7">
        <w:rPr>
          <w:rFonts w:ascii="Calibri" w:hAnsi="Calibri"/>
          <w:sz w:val="22"/>
          <w:szCs w:val="22"/>
        </w:rPr>
        <w:t xml:space="preserve"> </w:t>
      </w:r>
      <w:r w:rsidRPr="00FB427C">
        <w:rPr>
          <w:rFonts w:ascii="Calibri" w:hAnsi="Calibri"/>
          <w:color w:val="FF0000"/>
          <w:sz w:val="22"/>
          <w:szCs w:val="22"/>
        </w:rPr>
        <w:t>+25%</w:t>
      </w:r>
      <w:r w:rsidRPr="00AC36E7">
        <w:rPr>
          <w:rFonts w:ascii="Calibri" w:hAnsi="Calibri"/>
          <w:sz w:val="22"/>
          <w:szCs w:val="22"/>
        </w:rPr>
        <w:t xml:space="preserve"> (ancien accord : 8,18% </w:t>
      </w:r>
      <w:r w:rsidRPr="00AC36E7">
        <w:rPr>
          <w:rFonts w:ascii="Calibri" w:hAnsi="Calibri"/>
          <w:sz w:val="22"/>
          <w:szCs w:val="22"/>
        </w:rPr>
        <w:sym w:font="Wingdings" w:char="F0E8"/>
      </w:r>
      <w:r w:rsidRPr="00AC36E7">
        <w:rPr>
          <w:rFonts w:ascii="Calibri" w:hAnsi="Calibri"/>
          <w:sz w:val="22"/>
          <w:szCs w:val="22"/>
        </w:rPr>
        <w:t xml:space="preserve"> 10%)</w:t>
      </w:r>
    </w:p>
    <w:p w:rsidR="001560E1" w:rsidRPr="00AC36E7" w:rsidRDefault="001560E1" w:rsidP="00F116A6">
      <w:pPr>
        <w:numPr>
          <w:ilvl w:val="1"/>
          <w:numId w:val="4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 w:rsidRPr="00AC36E7">
        <w:rPr>
          <w:rFonts w:ascii="Calibri" w:hAnsi="Calibri"/>
          <w:sz w:val="22"/>
          <w:szCs w:val="22"/>
        </w:rPr>
        <w:t xml:space="preserve">FY18 &amp; 19 : </w:t>
      </w:r>
      <w:r w:rsidRPr="00AC36E7">
        <w:rPr>
          <w:rFonts w:ascii="Calibri" w:hAnsi="Calibri"/>
          <w:sz w:val="22"/>
          <w:szCs w:val="22"/>
          <w:vertAlign w:val="subscript"/>
        </w:rPr>
        <w:t xml:space="preserve">~ </w:t>
      </w:r>
      <w:r w:rsidRPr="00FB427C">
        <w:rPr>
          <w:rFonts w:ascii="Calibri" w:hAnsi="Calibri"/>
          <w:color w:val="FF0000"/>
          <w:sz w:val="22"/>
          <w:szCs w:val="22"/>
        </w:rPr>
        <w:t>+50%</w:t>
      </w:r>
      <w:r w:rsidRPr="00FB427C">
        <w:rPr>
          <w:rFonts w:ascii="Calibri" w:hAnsi="Calibri"/>
          <w:sz w:val="22"/>
          <w:szCs w:val="22"/>
        </w:rPr>
        <w:t xml:space="preserve"> </w:t>
      </w:r>
      <w:r w:rsidRPr="00AC36E7">
        <w:rPr>
          <w:rFonts w:ascii="Calibri" w:hAnsi="Calibri"/>
          <w:sz w:val="22"/>
          <w:szCs w:val="22"/>
        </w:rPr>
        <w:t xml:space="preserve">(ancien accord : 8,18% </w:t>
      </w:r>
      <w:r w:rsidRPr="00AC36E7">
        <w:rPr>
          <w:rFonts w:ascii="Calibri" w:hAnsi="Calibri"/>
          <w:sz w:val="22"/>
          <w:szCs w:val="22"/>
        </w:rPr>
        <w:sym w:font="Wingdings" w:char="F0E8"/>
      </w:r>
      <w:r w:rsidRPr="00AC36E7">
        <w:rPr>
          <w:rFonts w:ascii="Calibri" w:hAnsi="Calibri"/>
          <w:sz w:val="22"/>
          <w:szCs w:val="22"/>
        </w:rPr>
        <w:t xml:space="preserve"> 12%)</w:t>
      </w:r>
    </w:p>
    <w:p w:rsidR="001560E1" w:rsidRPr="0021503E" w:rsidRDefault="001560E1" w:rsidP="00481DFB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Pr="0021503E" w:rsidRDefault="001560E1" w:rsidP="00481DFB">
      <w:pPr>
        <w:numPr>
          <w:ilvl w:val="0"/>
          <w:numId w:val="4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 w:rsidRPr="0021503E">
        <w:rPr>
          <w:rFonts w:ascii="Calibri" w:hAnsi="Calibri"/>
          <w:sz w:val="22"/>
          <w:szCs w:val="22"/>
        </w:rPr>
        <w:t xml:space="preserve"> </w:t>
      </w:r>
      <w:r w:rsidRPr="0021503E">
        <w:rPr>
          <w:rFonts w:ascii="Calibri" w:hAnsi="Calibri"/>
          <w:b/>
          <w:color w:val="FF0000"/>
          <w:sz w:val="22"/>
          <w:szCs w:val="22"/>
        </w:rPr>
        <w:t>Une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21503E">
        <w:rPr>
          <w:rFonts w:ascii="Calibri" w:hAnsi="Calibri"/>
          <w:b/>
          <w:color w:val="FF0000"/>
          <w:sz w:val="22"/>
          <w:szCs w:val="22"/>
        </w:rPr>
        <w:t>répartition de l’enveloppe globale (1+2) plus égalitaire pour récompenser l’effort collectif</w:t>
      </w:r>
    </w:p>
    <w:p w:rsidR="001560E1" w:rsidRDefault="001560E1" w:rsidP="0097002F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Default="001560E1" w:rsidP="0097002F">
      <w:pPr>
        <w:numPr>
          <w:ilvl w:val="0"/>
          <w:numId w:val="6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 w:rsidRPr="00C861E3">
        <w:rPr>
          <w:rFonts w:ascii="Calibri" w:hAnsi="Calibri"/>
          <w:b/>
          <w:sz w:val="22"/>
          <w:szCs w:val="22"/>
        </w:rPr>
        <w:t>La répartition de l'intéressement est globalement de 50% en fonction du salaire et 50% égalitaire</w:t>
      </w:r>
      <w:r w:rsidRPr="00AC36E7">
        <w:rPr>
          <w:rFonts w:ascii="Calibri" w:hAnsi="Calibri"/>
          <w:sz w:val="22"/>
          <w:szCs w:val="22"/>
        </w:rPr>
        <w:t xml:space="preserve"> (par rapport à 80% / 20% auparavant). Ces pourcentages sont variables en fonction du niveau de déclenchement des deux enveloppes (car </w:t>
      </w:r>
      <w:r>
        <w:rPr>
          <w:rFonts w:ascii="Calibri" w:hAnsi="Calibri"/>
          <w:sz w:val="22"/>
          <w:szCs w:val="22"/>
        </w:rPr>
        <w:t xml:space="preserve">la </w:t>
      </w:r>
      <w:r w:rsidRPr="00AC36E7">
        <w:rPr>
          <w:rFonts w:ascii="Calibri" w:hAnsi="Calibri"/>
          <w:sz w:val="22"/>
          <w:szCs w:val="22"/>
        </w:rPr>
        <w:t xml:space="preserve">répartition </w:t>
      </w:r>
      <w:r>
        <w:rPr>
          <w:rFonts w:ascii="Calibri" w:hAnsi="Calibri"/>
          <w:sz w:val="22"/>
          <w:szCs w:val="22"/>
        </w:rPr>
        <w:t xml:space="preserve">est </w:t>
      </w:r>
      <w:r w:rsidRPr="00AC36E7">
        <w:rPr>
          <w:rFonts w:ascii="Calibri" w:hAnsi="Calibri"/>
          <w:sz w:val="22"/>
          <w:szCs w:val="22"/>
        </w:rPr>
        <w:t xml:space="preserve">différente sur chacune d'elles), mais on est bien sur </w:t>
      </w:r>
      <w:r>
        <w:rPr>
          <w:rFonts w:ascii="Calibri" w:hAnsi="Calibri"/>
          <w:sz w:val="22"/>
          <w:szCs w:val="22"/>
        </w:rPr>
        <w:t>un tel</w:t>
      </w:r>
      <w:r w:rsidRPr="00AC36E7">
        <w:rPr>
          <w:rFonts w:ascii="Calibri" w:hAnsi="Calibri"/>
          <w:sz w:val="22"/>
          <w:szCs w:val="22"/>
        </w:rPr>
        <w:t xml:space="preserve"> ordre de grandeur</w:t>
      </w:r>
      <w:r>
        <w:rPr>
          <w:rFonts w:ascii="Calibri" w:hAnsi="Calibri"/>
          <w:sz w:val="22"/>
          <w:szCs w:val="22"/>
        </w:rPr>
        <w:t>.</w:t>
      </w:r>
    </w:p>
    <w:p w:rsidR="001560E1" w:rsidRPr="00AC36E7" w:rsidRDefault="001560E1" w:rsidP="006B641B">
      <w:pPr>
        <w:tabs>
          <w:tab w:val="left" w:pos="480"/>
        </w:tabs>
        <w:ind w:left="720"/>
        <w:jc w:val="both"/>
        <w:rPr>
          <w:rFonts w:ascii="Calibri" w:hAnsi="Calibri"/>
          <w:sz w:val="22"/>
          <w:szCs w:val="22"/>
        </w:rPr>
      </w:pPr>
    </w:p>
    <w:p w:rsidR="001560E1" w:rsidRDefault="001560E1" w:rsidP="00481DFB">
      <w:pPr>
        <w:tabs>
          <w:tab w:val="left" w:pos="480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895"/>
        <w:gridCol w:w="1704"/>
        <w:gridCol w:w="2086"/>
        <w:gridCol w:w="1704"/>
      </w:tblGrid>
      <w:tr w:rsidR="001560E1" w:rsidRPr="00856F9A" w:rsidTr="006B641B">
        <w:trPr>
          <w:jc w:val="center"/>
        </w:trPr>
        <w:tc>
          <w:tcPr>
            <w:tcW w:w="1899" w:type="dxa"/>
            <w:shd w:val="clear" w:color="auto" w:fill="FFFF99"/>
            <w:vAlign w:val="center"/>
          </w:tcPr>
          <w:p w:rsidR="001560E1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Montants </w:t>
            </w:r>
          </w:p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Annuels</w:t>
            </w:r>
          </w:p>
        </w:tc>
        <w:tc>
          <w:tcPr>
            <w:tcW w:w="1895" w:type="dxa"/>
            <w:shd w:val="clear" w:color="auto" w:fill="FFFF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Salaire brut moyen</w:t>
            </w:r>
          </w:p>
        </w:tc>
        <w:tc>
          <w:tcPr>
            <w:tcW w:w="1704" w:type="dxa"/>
            <w:shd w:val="clear" w:color="auto" w:fill="FFFF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 xml:space="preserve">Intéressement brut </w:t>
            </w:r>
            <w:r>
              <w:rPr>
                <w:rFonts w:ascii="Calibri" w:hAnsi="Calibri"/>
                <w:b/>
                <w:sz w:val="18"/>
                <w:szCs w:val="18"/>
              </w:rPr>
              <w:t>MAX</w:t>
            </w:r>
          </w:p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FY17</w:t>
            </w:r>
          </w:p>
        </w:tc>
        <w:tc>
          <w:tcPr>
            <w:tcW w:w="2086" w:type="dxa"/>
            <w:shd w:val="clear" w:color="auto" w:fill="FFFF99"/>
            <w:vAlign w:val="center"/>
          </w:tcPr>
          <w:p w:rsidR="001560E1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 xml:space="preserve">Intéressement brut </w:t>
            </w:r>
          </w:p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MAX</w:t>
            </w:r>
          </w:p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FY18 &amp; FY19</w:t>
            </w:r>
          </w:p>
        </w:tc>
        <w:tc>
          <w:tcPr>
            <w:tcW w:w="1704" w:type="dxa"/>
            <w:shd w:val="clear" w:color="auto" w:fill="FFFF99"/>
            <w:vAlign w:val="center"/>
          </w:tcPr>
          <w:p w:rsidR="001560E1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Intéressement brut</w:t>
            </w:r>
          </w:p>
          <w:p w:rsidR="001560E1" w:rsidRDefault="001560E1" w:rsidP="00C54648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MAX</w:t>
            </w:r>
          </w:p>
          <w:p w:rsidR="001560E1" w:rsidRPr="00F116A6" w:rsidRDefault="001560E1" w:rsidP="00C54648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ancien accord</w:t>
            </w:r>
          </w:p>
        </w:tc>
      </w:tr>
      <w:tr w:rsidR="001560E1" w:rsidRPr="00856F9A" w:rsidTr="006B641B">
        <w:trPr>
          <w:jc w:val="center"/>
        </w:trPr>
        <w:tc>
          <w:tcPr>
            <w:tcW w:w="1899" w:type="dxa"/>
            <w:shd w:val="clear" w:color="auto" w:fill="FFFF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OP</w:t>
            </w:r>
          </w:p>
        </w:tc>
        <w:tc>
          <w:tcPr>
            <w:tcW w:w="1895" w:type="dxa"/>
            <w:shd w:val="clear" w:color="auto" w:fill="FFCC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1800€</w:t>
            </w:r>
          </w:p>
        </w:tc>
        <w:tc>
          <w:tcPr>
            <w:tcW w:w="1704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3250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2086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3850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1704" w:type="dxa"/>
            <w:shd w:val="clear" w:color="auto" w:fill="99CCFF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2100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</w:tr>
      <w:tr w:rsidR="001560E1" w:rsidRPr="00856F9A" w:rsidTr="006B641B">
        <w:trPr>
          <w:jc w:val="center"/>
        </w:trPr>
        <w:tc>
          <w:tcPr>
            <w:tcW w:w="1899" w:type="dxa"/>
            <w:shd w:val="clear" w:color="auto" w:fill="FFFF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ETAM</w:t>
            </w:r>
          </w:p>
        </w:tc>
        <w:tc>
          <w:tcPr>
            <w:tcW w:w="1895" w:type="dxa"/>
            <w:shd w:val="clear" w:color="auto" w:fill="FFCC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2400€</w:t>
            </w:r>
          </w:p>
        </w:tc>
        <w:tc>
          <w:tcPr>
            <w:tcW w:w="1704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3600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2086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4300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1704" w:type="dxa"/>
            <w:shd w:val="clear" w:color="auto" w:fill="99CCFF"/>
            <w:vAlign w:val="center"/>
          </w:tcPr>
          <w:p w:rsidR="001560E1" w:rsidRPr="00F116A6" w:rsidRDefault="001560E1" w:rsidP="00C54648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2600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</w:tr>
      <w:tr w:rsidR="001560E1" w:rsidRPr="00856F9A" w:rsidTr="006B641B">
        <w:trPr>
          <w:jc w:val="center"/>
        </w:trPr>
        <w:tc>
          <w:tcPr>
            <w:tcW w:w="1899" w:type="dxa"/>
            <w:shd w:val="clear" w:color="auto" w:fill="FFFF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IC (C2)</w:t>
            </w:r>
          </w:p>
        </w:tc>
        <w:tc>
          <w:tcPr>
            <w:tcW w:w="1895" w:type="dxa"/>
            <w:shd w:val="clear" w:color="auto" w:fill="FFCC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3400€</w:t>
            </w:r>
          </w:p>
        </w:tc>
        <w:tc>
          <w:tcPr>
            <w:tcW w:w="1704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4150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2086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5000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1704" w:type="dxa"/>
            <w:shd w:val="clear" w:color="auto" w:fill="99CCFF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3400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</w:tr>
      <w:tr w:rsidR="001560E1" w:rsidRPr="00856F9A" w:rsidTr="006B641B">
        <w:trPr>
          <w:jc w:val="center"/>
        </w:trPr>
        <w:tc>
          <w:tcPr>
            <w:tcW w:w="1899" w:type="dxa"/>
            <w:shd w:val="clear" w:color="auto" w:fill="FFFF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IC (F2)</w:t>
            </w:r>
          </w:p>
        </w:tc>
        <w:tc>
          <w:tcPr>
            <w:tcW w:w="1895" w:type="dxa"/>
            <w:shd w:val="clear" w:color="auto" w:fill="FFCC99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116A6">
              <w:rPr>
                <w:rFonts w:ascii="Calibri" w:hAnsi="Calibri"/>
                <w:b/>
                <w:sz w:val="18"/>
                <w:szCs w:val="18"/>
              </w:rPr>
              <w:t>5400€</w:t>
            </w:r>
          </w:p>
        </w:tc>
        <w:tc>
          <w:tcPr>
            <w:tcW w:w="1704" w:type="dxa"/>
            <w:shd w:val="clear" w:color="auto" w:fill="CCFFCC"/>
            <w:vAlign w:val="center"/>
          </w:tcPr>
          <w:p w:rsidR="001560E1" w:rsidRPr="00F116A6" w:rsidRDefault="001560E1" w:rsidP="00F405A0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5300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2086" w:type="dxa"/>
            <w:shd w:val="clear" w:color="auto" w:fill="CCFFCC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6400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  <w:tc>
          <w:tcPr>
            <w:tcW w:w="1704" w:type="dxa"/>
            <w:shd w:val="clear" w:color="auto" w:fill="99CCFF"/>
            <w:vAlign w:val="center"/>
          </w:tcPr>
          <w:p w:rsidR="001560E1" w:rsidRPr="00F116A6" w:rsidRDefault="001560E1" w:rsidP="00F116A6">
            <w:pPr>
              <w:tabs>
                <w:tab w:val="left" w:pos="4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4900</w:t>
            </w:r>
            <w:r w:rsidRPr="00F116A6">
              <w:rPr>
                <w:rFonts w:ascii="Calibri" w:hAnsi="Calibri"/>
                <w:b/>
                <w:sz w:val="18"/>
                <w:szCs w:val="18"/>
              </w:rPr>
              <w:t>€</w:t>
            </w:r>
          </w:p>
        </w:tc>
      </w:tr>
    </w:tbl>
    <w:p w:rsidR="001560E1" w:rsidRPr="00235E72" w:rsidRDefault="001560E1" w:rsidP="00235E72">
      <w:pPr>
        <w:tabs>
          <w:tab w:val="left" w:pos="480"/>
        </w:tabs>
        <w:ind w:left="720"/>
        <w:jc w:val="both"/>
        <w:rPr>
          <w:rFonts w:ascii="Calibri" w:hAnsi="Calibri"/>
          <w:sz w:val="22"/>
          <w:szCs w:val="22"/>
        </w:rPr>
      </w:pPr>
    </w:p>
    <w:p w:rsidR="001560E1" w:rsidRDefault="001560E1" w:rsidP="0097002F">
      <w:pPr>
        <w:numPr>
          <w:ilvl w:val="0"/>
          <w:numId w:val="4"/>
        </w:numPr>
        <w:tabs>
          <w:tab w:val="left" w:pos="480"/>
        </w:tabs>
        <w:ind w:left="567" w:hanging="14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D2BDB">
        <w:rPr>
          <w:rFonts w:ascii="Calibri" w:hAnsi="Calibri"/>
          <w:b/>
          <w:color w:val="FF0000"/>
          <w:sz w:val="22"/>
          <w:szCs w:val="22"/>
        </w:rPr>
        <w:t>Alignement des critères de déclenchement de l’intéressement avec le plan d’actions gratuites</w:t>
      </w:r>
      <w:r>
        <w:rPr>
          <w:rFonts w:ascii="Calibri" w:hAnsi="Calibri"/>
          <w:sz w:val="22"/>
          <w:szCs w:val="22"/>
        </w:rPr>
        <w:t xml:space="preserve"> de la direction (proposition initiale inacceptable pour la CGT car plus agressive pour les salariés)</w:t>
      </w:r>
    </w:p>
    <w:p w:rsidR="001560E1" w:rsidRDefault="001560E1" w:rsidP="0097002F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Default="001560E1" w:rsidP="0097002F">
      <w:pPr>
        <w:numPr>
          <w:ilvl w:val="0"/>
          <w:numId w:val="6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8% (sur 10% max.)  de l’enveloppe 2 si 104M€ d’EBITDA en moyenne sur FY18 &amp; FY19 (idem </w:t>
      </w:r>
      <w:r w:rsidRPr="0097002F">
        <w:rPr>
          <w:rFonts w:ascii="Calibri" w:hAnsi="Calibri"/>
          <w:i/>
          <w:sz w:val="22"/>
          <w:szCs w:val="22"/>
        </w:rPr>
        <w:t>incentive plan</w:t>
      </w:r>
      <w:r>
        <w:rPr>
          <w:rFonts w:ascii="Calibri" w:hAnsi="Calibri"/>
          <w:sz w:val="22"/>
          <w:szCs w:val="22"/>
        </w:rPr>
        <w:t>)</w:t>
      </w:r>
    </w:p>
    <w:p w:rsidR="001560E1" w:rsidRDefault="001560E1" w:rsidP="0097002F">
      <w:pPr>
        <w:numPr>
          <w:ilvl w:val="0"/>
          <w:numId w:val="6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Mise en place d’une « extra tranche » (idem </w:t>
      </w:r>
      <w:r w:rsidRPr="0097002F">
        <w:rPr>
          <w:rFonts w:ascii="Calibri" w:hAnsi="Calibri"/>
          <w:i/>
          <w:sz w:val="22"/>
          <w:szCs w:val="22"/>
        </w:rPr>
        <w:t>incentive plan</w:t>
      </w:r>
      <w:r>
        <w:rPr>
          <w:rFonts w:ascii="Calibri" w:hAnsi="Calibri"/>
          <w:sz w:val="22"/>
          <w:szCs w:val="22"/>
        </w:rPr>
        <w:t>) pouvant aller jusqu’à +2% si au-delà</w:t>
      </w:r>
    </w:p>
    <w:p w:rsidR="001560E1" w:rsidRPr="0021503E" w:rsidRDefault="001560E1" w:rsidP="0097002F">
      <w:pPr>
        <w:tabs>
          <w:tab w:val="left" w:pos="480"/>
        </w:tabs>
        <w:jc w:val="both"/>
        <w:rPr>
          <w:rFonts w:ascii="Calibri" w:hAnsi="Calibri"/>
          <w:color w:val="FF0000"/>
          <w:sz w:val="22"/>
          <w:szCs w:val="22"/>
        </w:rPr>
      </w:pPr>
    </w:p>
    <w:p w:rsidR="001560E1" w:rsidRPr="00A51ECF" w:rsidRDefault="001560E1" w:rsidP="006B4A3E">
      <w:pPr>
        <w:numPr>
          <w:ilvl w:val="0"/>
          <w:numId w:val="4"/>
        </w:numPr>
        <w:tabs>
          <w:tab w:val="left" w:pos="480"/>
        </w:tabs>
        <w:ind w:left="567" w:hanging="141"/>
        <w:jc w:val="both"/>
        <w:rPr>
          <w:rFonts w:ascii="Calibri" w:hAnsi="Calibri"/>
          <w:sz w:val="22"/>
          <w:szCs w:val="22"/>
        </w:rPr>
      </w:pPr>
      <w:r w:rsidRPr="00A51ECF">
        <w:rPr>
          <w:rFonts w:ascii="Calibri" w:hAnsi="Calibri"/>
          <w:b/>
          <w:color w:val="FF0000"/>
          <w:sz w:val="22"/>
          <w:szCs w:val="22"/>
        </w:rPr>
        <w:t xml:space="preserve"> Mise en place d’un intéressement plus atteignable</w:t>
      </w:r>
      <w:r w:rsidRPr="00A51ECF">
        <w:rPr>
          <w:rFonts w:ascii="Calibri" w:hAnsi="Calibri"/>
          <w:b/>
          <w:sz w:val="22"/>
          <w:szCs w:val="22"/>
        </w:rPr>
        <w:t xml:space="preserve"> </w:t>
      </w:r>
    </w:p>
    <w:p w:rsidR="001560E1" w:rsidRPr="00A51ECF" w:rsidRDefault="001560E1" w:rsidP="00A51ECF">
      <w:pPr>
        <w:tabs>
          <w:tab w:val="left" w:pos="480"/>
        </w:tabs>
        <w:ind w:left="567"/>
        <w:jc w:val="both"/>
        <w:rPr>
          <w:rFonts w:ascii="Calibri" w:hAnsi="Calibri"/>
          <w:sz w:val="22"/>
          <w:szCs w:val="22"/>
        </w:rPr>
      </w:pPr>
    </w:p>
    <w:p w:rsidR="001560E1" w:rsidRPr="006B4A3E" w:rsidRDefault="001560E1" w:rsidP="006B4A3E">
      <w:pPr>
        <w:numPr>
          <w:ilvl w:val="0"/>
          <w:numId w:val="6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Enveloppe 2 (la plus importante) peut déclencher avec minoration même en dessous de l’EBITDA cible (PLAN) ≠ une seule valeur de déclenchement auparavant (OK / not OK)</w:t>
      </w:r>
    </w:p>
    <w:p w:rsidR="001560E1" w:rsidRPr="0021503E" w:rsidRDefault="001560E1" w:rsidP="00D71579">
      <w:pPr>
        <w:tabs>
          <w:tab w:val="left" w:pos="480"/>
        </w:tabs>
        <w:ind w:left="567"/>
        <w:jc w:val="both"/>
        <w:rPr>
          <w:rFonts w:ascii="Calibri" w:hAnsi="Calibri"/>
          <w:sz w:val="22"/>
          <w:szCs w:val="22"/>
        </w:rPr>
      </w:pPr>
    </w:p>
    <w:p w:rsidR="001560E1" w:rsidRPr="0021503E" w:rsidRDefault="001560E1" w:rsidP="0097002F">
      <w:pPr>
        <w:numPr>
          <w:ilvl w:val="0"/>
          <w:numId w:val="4"/>
        </w:numPr>
        <w:tabs>
          <w:tab w:val="left" w:pos="480"/>
        </w:tabs>
        <w:ind w:left="567" w:hanging="141"/>
        <w:jc w:val="both"/>
        <w:rPr>
          <w:rFonts w:ascii="Calibri" w:hAnsi="Calibri"/>
          <w:sz w:val="22"/>
          <w:szCs w:val="22"/>
        </w:rPr>
      </w:pPr>
      <w:r w:rsidRPr="0021503E">
        <w:rPr>
          <w:rFonts w:ascii="Calibri" w:hAnsi="Calibri"/>
          <w:b/>
          <w:sz w:val="22"/>
          <w:szCs w:val="22"/>
        </w:rPr>
        <w:t xml:space="preserve"> </w:t>
      </w:r>
      <w:r w:rsidRPr="0021503E">
        <w:rPr>
          <w:rFonts w:ascii="Calibri" w:hAnsi="Calibri"/>
          <w:b/>
          <w:color w:val="FF0000"/>
          <w:sz w:val="22"/>
          <w:szCs w:val="22"/>
        </w:rPr>
        <w:t>Mise</w:t>
      </w:r>
      <w:r w:rsidRPr="0021503E">
        <w:rPr>
          <w:rFonts w:ascii="Calibri" w:hAnsi="Calibri"/>
          <w:b/>
          <w:sz w:val="22"/>
          <w:szCs w:val="22"/>
        </w:rPr>
        <w:t xml:space="preserve"> </w:t>
      </w:r>
      <w:r w:rsidRPr="0021503E">
        <w:rPr>
          <w:rFonts w:ascii="Calibri" w:hAnsi="Calibri"/>
          <w:b/>
          <w:color w:val="FF0000"/>
          <w:sz w:val="22"/>
          <w:szCs w:val="22"/>
        </w:rPr>
        <w:t>en place d’un plafond pour les très hauts salaires avec redistribution du reliquat</w:t>
      </w:r>
    </w:p>
    <w:p w:rsidR="001560E1" w:rsidRDefault="001560E1" w:rsidP="0097002F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:rsidR="001560E1" w:rsidRPr="00A83A23" w:rsidRDefault="001560E1" w:rsidP="00A83A23">
      <w:pPr>
        <w:numPr>
          <w:ilvl w:val="0"/>
          <w:numId w:val="6"/>
        </w:num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 w:rsidRPr="0097002F">
        <w:rPr>
          <w:rFonts w:ascii="Calibri" w:hAnsi="Calibri"/>
          <w:sz w:val="22"/>
          <w:szCs w:val="22"/>
        </w:rPr>
        <w:t>Plafonnement de l'intéressement à 7000 €</w:t>
      </w:r>
      <w:r>
        <w:rPr>
          <w:rFonts w:ascii="Calibri" w:hAnsi="Calibri"/>
          <w:sz w:val="22"/>
          <w:szCs w:val="22"/>
        </w:rPr>
        <w:t xml:space="preserve"> brut</w:t>
      </w:r>
      <w:r w:rsidRPr="00AC36E7">
        <w:rPr>
          <w:rFonts w:ascii="Calibri" w:hAnsi="Calibri"/>
          <w:sz w:val="22"/>
          <w:szCs w:val="22"/>
        </w:rPr>
        <w:t xml:space="preserve"> </w:t>
      </w:r>
      <w:r w:rsidRPr="0097002F">
        <w:rPr>
          <w:rFonts w:ascii="Calibri" w:hAnsi="Calibri"/>
          <w:sz w:val="22"/>
          <w:szCs w:val="22"/>
          <w:u w:val="single"/>
        </w:rPr>
        <w:t>avec redistribution du reliquat à l’ENSEMBLE des salariés</w:t>
      </w:r>
      <w:r>
        <w:rPr>
          <w:rFonts w:ascii="Calibri" w:hAnsi="Calibri"/>
          <w:sz w:val="22"/>
          <w:szCs w:val="22"/>
        </w:rPr>
        <w:t>. La CGT Soitec a dû concéder la modification du plafond de 65</w:t>
      </w:r>
      <w:r w:rsidRPr="0097002F">
        <w:rPr>
          <w:rFonts w:ascii="Calibri" w:hAnsi="Calibri"/>
          <w:sz w:val="22"/>
          <w:szCs w:val="22"/>
        </w:rPr>
        <w:t xml:space="preserve">00€ </w:t>
      </w:r>
      <w:r>
        <w:rPr>
          <w:rFonts w:ascii="Calibri" w:hAnsi="Calibri"/>
          <w:sz w:val="22"/>
          <w:szCs w:val="22"/>
        </w:rPr>
        <w:t>(</w:t>
      </w:r>
      <w:r w:rsidRPr="00A83A23">
        <w:rPr>
          <w:rFonts w:ascii="Calibri" w:hAnsi="Calibri"/>
          <w:sz w:val="22"/>
          <w:szCs w:val="22"/>
        </w:rPr>
        <w:t>proposé par la direction) à 7000€ à la demande de la CFE-CGC et ce</w:t>
      </w:r>
      <w:r>
        <w:rPr>
          <w:rFonts w:ascii="Calibri" w:hAnsi="Calibri"/>
          <w:sz w:val="22"/>
          <w:szCs w:val="22"/>
        </w:rPr>
        <w:t>,</w:t>
      </w:r>
      <w:r w:rsidRPr="00A83A23">
        <w:rPr>
          <w:rFonts w:ascii="Calibri" w:hAnsi="Calibri"/>
          <w:sz w:val="22"/>
          <w:szCs w:val="22"/>
        </w:rPr>
        <w:t xml:space="preserve"> pour atteindre une répartition plus égalitaire</w:t>
      </w:r>
      <w:r>
        <w:rPr>
          <w:rFonts w:ascii="Calibri" w:hAnsi="Calibri"/>
          <w:sz w:val="22"/>
          <w:szCs w:val="22"/>
        </w:rPr>
        <w:t xml:space="preserve"> de</w:t>
      </w:r>
      <w:r w:rsidRPr="00A83A23">
        <w:rPr>
          <w:rFonts w:ascii="Calibri" w:hAnsi="Calibri"/>
          <w:sz w:val="22"/>
          <w:szCs w:val="22"/>
        </w:rPr>
        <w:t xml:space="preserve"> la seconde enveloppe</w:t>
      </w:r>
      <w:r>
        <w:rPr>
          <w:rFonts w:ascii="Calibri" w:hAnsi="Calibri"/>
          <w:sz w:val="22"/>
          <w:szCs w:val="22"/>
        </w:rPr>
        <w:t xml:space="preserve"> (60%</w:t>
      </w:r>
      <w:r w:rsidRPr="00A83A23">
        <w:rPr>
          <w:rFonts w:ascii="Calibri" w:hAnsi="Calibri"/>
          <w:sz w:val="22"/>
          <w:szCs w:val="22"/>
        </w:rPr>
        <w:t xml:space="preserve">-40% </w:t>
      </w:r>
      <w:r>
        <w:rPr>
          <w:rFonts w:ascii="Calibri" w:hAnsi="Calibri"/>
          <w:sz w:val="22"/>
          <w:szCs w:val="22"/>
        </w:rPr>
        <w:t>vs 70%</w:t>
      </w:r>
      <w:r w:rsidRPr="00A83A23">
        <w:rPr>
          <w:rFonts w:ascii="Calibri" w:hAnsi="Calibri"/>
          <w:sz w:val="22"/>
          <w:szCs w:val="22"/>
        </w:rPr>
        <w:t xml:space="preserve">-30% initialement). </w:t>
      </w:r>
    </w:p>
    <w:p w:rsidR="001560E1" w:rsidRDefault="001560E1" w:rsidP="00FF6B6B">
      <w:pPr>
        <w:tabs>
          <w:tab w:val="left" w:pos="480"/>
        </w:tabs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1560E1" w:rsidRDefault="001560E1" w:rsidP="00235E72">
      <w:pPr>
        <w:numPr>
          <w:ilvl w:val="0"/>
          <w:numId w:val="4"/>
        </w:numPr>
        <w:tabs>
          <w:tab w:val="left" w:pos="480"/>
        </w:tabs>
        <w:ind w:left="567" w:hanging="20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En cas de déclenchement de la p</w:t>
      </w:r>
      <w:r w:rsidRPr="0075059A">
        <w:rPr>
          <w:rFonts w:ascii="Calibri" w:hAnsi="Calibri"/>
          <w:sz w:val="22"/>
          <w:szCs w:val="22"/>
        </w:rPr>
        <w:t xml:space="preserve">articipation, </w:t>
      </w:r>
      <w:r>
        <w:rPr>
          <w:rFonts w:ascii="Calibri" w:hAnsi="Calibri"/>
          <w:sz w:val="22"/>
          <w:szCs w:val="22"/>
        </w:rPr>
        <w:t xml:space="preserve">la direction a imposé que </w:t>
      </w:r>
      <w:r w:rsidRPr="0075059A">
        <w:rPr>
          <w:rFonts w:ascii="Calibri" w:hAnsi="Calibri"/>
          <w:sz w:val="22"/>
          <w:szCs w:val="22"/>
        </w:rPr>
        <w:t>le m</w:t>
      </w:r>
      <w:r>
        <w:rPr>
          <w:rFonts w:ascii="Calibri" w:hAnsi="Calibri"/>
          <w:sz w:val="22"/>
          <w:szCs w:val="22"/>
        </w:rPr>
        <w:t>ontant de l’intéressement soit</w:t>
      </w:r>
      <w:r w:rsidRPr="0075059A">
        <w:rPr>
          <w:rFonts w:ascii="Calibri" w:hAnsi="Calibri"/>
          <w:sz w:val="22"/>
          <w:szCs w:val="22"/>
        </w:rPr>
        <w:t xml:space="preserve"> ajusté de manière à ce que </w:t>
      </w:r>
      <w:r w:rsidRPr="0075059A">
        <w:rPr>
          <w:rFonts w:ascii="Calibri" w:hAnsi="Calibri"/>
          <w:b/>
          <w:sz w:val="22"/>
          <w:szCs w:val="22"/>
        </w:rPr>
        <w:t>participation + intéressement ne dépassent pas 2</w:t>
      </w:r>
      <w:r>
        <w:rPr>
          <w:rFonts w:ascii="Calibri" w:hAnsi="Calibri"/>
          <w:b/>
          <w:sz w:val="22"/>
          <w:szCs w:val="22"/>
        </w:rPr>
        <w:t xml:space="preserve">,5 mois de salaire de base, ou </w:t>
      </w:r>
      <w:r w:rsidRPr="0075059A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0</w:t>
      </w:r>
      <w:r w:rsidRPr="0075059A">
        <w:rPr>
          <w:rFonts w:ascii="Calibri" w:hAnsi="Calibri"/>
          <w:b/>
          <w:sz w:val="22"/>
          <w:szCs w:val="22"/>
        </w:rPr>
        <w:t>00€ si plus favorable</w:t>
      </w:r>
      <w:r>
        <w:rPr>
          <w:rFonts w:ascii="Calibri" w:hAnsi="Calibri"/>
          <w:sz w:val="22"/>
          <w:szCs w:val="22"/>
        </w:rPr>
        <w:t>.</w:t>
      </w:r>
    </w:p>
    <w:p w:rsidR="001560E1" w:rsidRDefault="001560E1" w:rsidP="0075059A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noProof/>
        </w:rPr>
        <w:pict>
          <v:group id="_x0000_s1027" style="position:absolute;left:0;text-align:left;margin-left:271.65pt;margin-top:1.2pt;width:234.5pt;height:196.5pt;z-index:251656192" coordorigin="7775,7889" coordsize="3262,3421">
            <v:shape id="_x0000_s1028" type="#_x0000_t75" style="position:absolute;left:7775;top:7889;width:3262;height:342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907;top:10817;width:1920;height:292" stroked="f">
              <v:fill opacity="0"/>
              <v:textbox style="mso-next-textbox:#_x0000_s1029">
                <w:txbxContent>
                  <w:p w:rsidR="001560E1" w:rsidRPr="003467A3" w:rsidRDefault="001560E1" w:rsidP="006D398B">
                    <w:pPr>
                      <w:jc w:val="center"/>
                      <w:rPr>
                        <w:rFonts w:ascii="Arial Black" w:hAnsi="Arial Black"/>
                        <w:b/>
                        <w:i/>
                        <w:color w:val="292929"/>
                        <w:sz w:val="14"/>
                        <w:szCs w:val="14"/>
                      </w:rPr>
                    </w:pPr>
                    <w:r w:rsidRPr="003467A3">
                      <w:rPr>
                        <w:rFonts w:ascii="Arial Black" w:hAnsi="Arial Black"/>
                        <w:b/>
                        <w:i/>
                        <w:color w:val="292929"/>
                        <w:sz w:val="14"/>
                        <w:szCs w:val="14"/>
                      </w:rPr>
                      <w:t>DIRECTION</w:t>
                    </w:r>
                  </w:p>
                </w:txbxContent>
              </v:textbox>
            </v:shape>
          </v:group>
        </w:pict>
      </w:r>
    </w:p>
    <w:p w:rsidR="001560E1" w:rsidRDefault="001560E1" w:rsidP="00AA194D">
      <w:pPr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  <w:r>
        <w:rPr>
          <w:noProof/>
        </w:rPr>
        <w:pict>
          <v:shape id="Image 5" o:spid="_x0000_s1030" type="#_x0000_t75" style="position:absolute;left:0;text-align:left;margin-left:22.15pt;margin-top:5.75pt;width:184pt;height:171.5pt;z-index:251660288;visibility:visible">
            <v:imagedata r:id="rId7" o:title=""/>
          </v:shape>
        </w:pict>
      </w: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</w:p>
    <w:p w:rsidR="001560E1" w:rsidRPr="00C547FB" w:rsidRDefault="001560E1" w:rsidP="00AA194D">
      <w:pPr>
        <w:tabs>
          <w:tab w:val="left" w:pos="480"/>
        </w:tabs>
        <w:jc w:val="both"/>
        <w:rPr>
          <w:rFonts w:ascii="Arial Black" w:hAnsi="Arial Black"/>
          <w:sz w:val="22"/>
          <w:szCs w:val="22"/>
        </w:rPr>
      </w:pPr>
      <w:r w:rsidRPr="00C547FB">
        <w:rPr>
          <w:rFonts w:ascii="Arial Black" w:hAnsi="Arial Black"/>
          <w:sz w:val="22"/>
          <w:szCs w:val="22"/>
        </w:rPr>
        <w:t xml:space="preserve">Après de nombreuses consultations effectuées ces derniers jours auprès des salariés, </w:t>
      </w:r>
      <w:r w:rsidRPr="00EA72DC">
        <w:rPr>
          <w:rFonts w:ascii="Arial Black" w:hAnsi="Arial Black"/>
          <w:sz w:val="22"/>
          <w:szCs w:val="22"/>
          <w:u w:val="single"/>
        </w:rPr>
        <w:t>la CGT Soitec sera signataire de cet accord</w:t>
      </w:r>
      <w:r w:rsidRPr="00C547FB">
        <w:rPr>
          <w:rFonts w:ascii="Arial Black" w:hAnsi="Arial Black"/>
          <w:sz w:val="22"/>
          <w:szCs w:val="22"/>
        </w:rPr>
        <w:t xml:space="preserve"> (sous réserve qu’il s</w:t>
      </w:r>
      <w:r>
        <w:rPr>
          <w:rFonts w:ascii="Arial Black" w:hAnsi="Arial Black"/>
          <w:sz w:val="22"/>
          <w:szCs w:val="22"/>
        </w:rPr>
        <w:t>oit conforme à nos discussions, nous sommes</w:t>
      </w:r>
      <w:r w:rsidRPr="00C547FB">
        <w:rPr>
          <w:rFonts w:ascii="Arial Black" w:hAnsi="Arial Black"/>
          <w:sz w:val="22"/>
          <w:szCs w:val="22"/>
        </w:rPr>
        <w:t xml:space="preserve"> en attente de l’accord final).</w:t>
      </w:r>
    </w:p>
    <w:p w:rsidR="001560E1" w:rsidRPr="000464EF" w:rsidRDefault="001560E1" w:rsidP="00AA194D">
      <w:pPr>
        <w:tabs>
          <w:tab w:val="left" w:pos="480"/>
        </w:tabs>
        <w:jc w:val="both"/>
        <w:rPr>
          <w:rFonts w:ascii="Calibri" w:hAnsi="Calibri"/>
          <w:sz w:val="30"/>
          <w:szCs w:val="30"/>
        </w:rPr>
      </w:pPr>
    </w:p>
    <w:p w:rsidR="001560E1" w:rsidRDefault="001560E1" w:rsidP="00203C19">
      <w:pPr>
        <w:tabs>
          <w:tab w:val="left" w:pos="480"/>
        </w:tabs>
        <w:ind w:left="1701"/>
        <w:jc w:val="both"/>
        <w:rPr>
          <w:rFonts w:ascii="Calibri" w:hAnsi="Calibri"/>
          <w:sz w:val="22"/>
          <w:szCs w:val="22"/>
        </w:rPr>
      </w:pPr>
      <w:r>
        <w:rPr>
          <w:noProof/>
        </w:rPr>
        <w:pict>
          <v:shape id="Image 4" o:spid="_x0000_s1031" type="#_x0000_t75" style="position:absolute;left:0;text-align:left;margin-left:-20.35pt;margin-top:.25pt;width:92.5pt;height:120.5pt;z-index:251659264;visibility:visible">
            <v:imagedata r:id="rId8" o:title=""/>
          </v:shape>
        </w:pict>
      </w:r>
      <w:r>
        <w:rPr>
          <w:rFonts w:ascii="Calibri" w:hAnsi="Calibri"/>
          <w:sz w:val="22"/>
          <w:szCs w:val="22"/>
        </w:rPr>
        <w:tab/>
        <w:t>Enfin, n</w:t>
      </w:r>
      <w:r w:rsidRPr="002815DA">
        <w:rPr>
          <w:rFonts w:ascii="Calibri" w:hAnsi="Calibri"/>
          <w:sz w:val="22"/>
          <w:szCs w:val="22"/>
        </w:rPr>
        <w:t xml:space="preserve">ous tenons </w:t>
      </w:r>
      <w:r>
        <w:rPr>
          <w:rFonts w:ascii="Calibri" w:hAnsi="Calibri"/>
          <w:sz w:val="22"/>
          <w:szCs w:val="22"/>
        </w:rPr>
        <w:t>à préciser que, malgré l’issue favorable de cette négociation d’intéressement, le mécontentement général des salariés  lié à l’</w:t>
      </w:r>
      <w:r w:rsidRPr="00C547FB">
        <w:rPr>
          <w:rFonts w:ascii="Calibri" w:hAnsi="Calibri"/>
          <w:i/>
          <w:sz w:val="22"/>
          <w:szCs w:val="22"/>
        </w:rPr>
        <w:t>incentive plan</w:t>
      </w:r>
      <w:r>
        <w:rPr>
          <w:rFonts w:ascii="Calibri" w:hAnsi="Calibri"/>
          <w:sz w:val="22"/>
          <w:szCs w:val="22"/>
        </w:rPr>
        <w:t xml:space="preserve"> n’est pas retombé. Nous attendons donc, à juste titre, beaucoup des NAO qui ont débuté cette semaine. Ces dernières</w:t>
      </w:r>
      <w:r w:rsidRPr="002815DA">
        <w:rPr>
          <w:rFonts w:ascii="Calibri" w:hAnsi="Calibri"/>
          <w:sz w:val="22"/>
          <w:szCs w:val="22"/>
        </w:rPr>
        <w:t xml:space="preserve"> doivent être l’occasion pour </w:t>
      </w:r>
      <w:r>
        <w:rPr>
          <w:rFonts w:ascii="Calibri" w:hAnsi="Calibri"/>
          <w:sz w:val="22"/>
          <w:szCs w:val="22"/>
        </w:rPr>
        <w:t xml:space="preserve">chacun d’entre nous de nous </w:t>
      </w:r>
      <w:r w:rsidRPr="002815DA">
        <w:rPr>
          <w:rFonts w:ascii="Calibri" w:hAnsi="Calibri"/>
          <w:sz w:val="22"/>
          <w:szCs w:val="22"/>
        </w:rPr>
        <w:t xml:space="preserve">impliquer de manière plus </w:t>
      </w:r>
      <w:r>
        <w:rPr>
          <w:rFonts w:ascii="Calibri" w:hAnsi="Calibri"/>
          <w:sz w:val="22"/>
          <w:szCs w:val="22"/>
        </w:rPr>
        <w:t>franche</w:t>
      </w:r>
      <w:r w:rsidRPr="002815DA">
        <w:rPr>
          <w:rFonts w:ascii="Calibri" w:hAnsi="Calibri"/>
          <w:sz w:val="22"/>
          <w:szCs w:val="22"/>
        </w:rPr>
        <w:t xml:space="preserve"> dans le dialogue social </w:t>
      </w:r>
      <w:r>
        <w:rPr>
          <w:rFonts w:ascii="Calibri" w:hAnsi="Calibri"/>
          <w:sz w:val="22"/>
          <w:szCs w:val="22"/>
        </w:rPr>
        <w:t>de</w:t>
      </w:r>
      <w:r w:rsidRPr="002815DA">
        <w:rPr>
          <w:rFonts w:ascii="Calibri" w:hAnsi="Calibri"/>
          <w:sz w:val="22"/>
          <w:szCs w:val="22"/>
        </w:rPr>
        <w:t xml:space="preserve"> cette entreprise alors </w:t>
      </w:r>
      <w:r>
        <w:rPr>
          <w:rFonts w:ascii="Calibri" w:hAnsi="Calibri"/>
          <w:sz w:val="22"/>
          <w:szCs w:val="22"/>
        </w:rPr>
        <w:t xml:space="preserve">que </w:t>
      </w:r>
      <w:r w:rsidRPr="002815DA">
        <w:rPr>
          <w:rFonts w:ascii="Calibri" w:hAnsi="Calibri"/>
          <w:sz w:val="22"/>
          <w:szCs w:val="22"/>
        </w:rPr>
        <w:t xml:space="preserve">notre refinancement est en très bonne voie et que </w:t>
      </w:r>
      <w:r>
        <w:rPr>
          <w:rFonts w:ascii="Calibri" w:hAnsi="Calibri"/>
          <w:sz w:val="22"/>
          <w:szCs w:val="22"/>
        </w:rPr>
        <w:t xml:space="preserve">malheureusement, </w:t>
      </w:r>
      <w:r w:rsidRPr="002815DA">
        <w:rPr>
          <w:rFonts w:ascii="Calibri" w:hAnsi="Calibri"/>
          <w:sz w:val="22"/>
          <w:szCs w:val="22"/>
        </w:rPr>
        <w:t>certaines vieilles pratiques persistent</w:t>
      </w:r>
      <w:r>
        <w:rPr>
          <w:rFonts w:ascii="Calibri" w:hAnsi="Calibri"/>
          <w:sz w:val="22"/>
          <w:szCs w:val="22"/>
        </w:rPr>
        <w:t xml:space="preserve"> encore</w:t>
      </w:r>
      <w:r w:rsidRPr="002815DA">
        <w:rPr>
          <w:rFonts w:ascii="Calibri" w:hAnsi="Calibri"/>
          <w:sz w:val="22"/>
          <w:szCs w:val="22"/>
        </w:rPr>
        <w:t>…</w:t>
      </w:r>
    </w:p>
    <w:p w:rsidR="001560E1" w:rsidRDefault="001560E1" w:rsidP="00203C19">
      <w:pPr>
        <w:tabs>
          <w:tab w:val="left" w:pos="480"/>
        </w:tabs>
        <w:ind w:lef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CGT Soitec organisera ces prochaines semaines, un rassemblement festif et revendicatif lors duquel l’ensemble des salarié(e)s seront invité(e)s à venir échanger et à se faire entendre autour d’un barbecue. A suivre…</w:t>
      </w:r>
    </w:p>
    <w:p w:rsidR="001560E1" w:rsidRDefault="001560E1" w:rsidP="005F304E">
      <w:pPr>
        <w:tabs>
          <w:tab w:val="left" w:pos="480"/>
        </w:tabs>
        <w:rPr>
          <w:rFonts w:ascii="Arial Black" w:hAnsi="Arial Black"/>
          <w:color w:val="FF0000"/>
          <w:sz w:val="10"/>
          <w:szCs w:val="10"/>
        </w:rPr>
      </w:pPr>
    </w:p>
    <w:p w:rsidR="001560E1" w:rsidRDefault="001560E1" w:rsidP="005F304E">
      <w:pPr>
        <w:tabs>
          <w:tab w:val="left" w:pos="480"/>
        </w:tabs>
        <w:rPr>
          <w:rFonts w:ascii="Arial Black" w:hAnsi="Arial Black"/>
          <w:color w:val="FF0000"/>
          <w:sz w:val="10"/>
          <w:szCs w:val="10"/>
        </w:rPr>
      </w:pPr>
      <w:r>
        <w:rPr>
          <w:noProof/>
        </w:rPr>
        <w:pict>
          <v:shape id="_x0000_s1032" type="#_x0000_t75" style="position:absolute;margin-left:401.15pt;margin-top:6.05pt;width:127.1pt;height:84pt;z-index:251657216;visibility:visible">
            <v:imagedata r:id="rId9" o:title="" grayscale="t" bilevel="t"/>
          </v:shape>
        </w:pict>
      </w:r>
    </w:p>
    <w:p w:rsidR="001560E1" w:rsidRPr="00EA72DC" w:rsidRDefault="001560E1" w:rsidP="00AC21CD">
      <w:pPr>
        <w:tabs>
          <w:tab w:val="left" w:pos="480"/>
        </w:tabs>
        <w:ind w:left="-426"/>
        <w:rPr>
          <w:rFonts w:ascii="Arial Black" w:hAnsi="Arial Black"/>
          <w:color w:val="FF0000"/>
          <w:sz w:val="22"/>
          <w:szCs w:val="22"/>
        </w:rPr>
      </w:pPr>
      <w:r w:rsidRPr="00EA72DC">
        <w:rPr>
          <w:rFonts w:ascii="Arial Black" w:hAnsi="Arial Black"/>
          <w:color w:val="FF0000"/>
          <w:sz w:val="22"/>
          <w:szCs w:val="22"/>
        </w:rPr>
        <w:t>ENSEMBLE, TRANSFORMONS LE DIALOGUE SOCIAL à SOITEC !!!</w:t>
      </w:r>
    </w:p>
    <w:p w:rsidR="001560E1" w:rsidRDefault="001560E1" w:rsidP="00B668E9">
      <w:pPr>
        <w:tabs>
          <w:tab w:val="left" w:pos="480"/>
        </w:tabs>
        <w:jc w:val="center"/>
        <w:rPr>
          <w:rFonts w:ascii="Arial Black" w:hAnsi="Arial Black"/>
          <w:sz w:val="22"/>
          <w:szCs w:val="22"/>
        </w:rPr>
      </w:pPr>
      <w:r>
        <w:rPr>
          <w:noProof/>
        </w:rPr>
        <w:pict>
          <v:shape id="_x0000_s1033" type="#_x0000_t75" style="position:absolute;left:0;text-align:left;margin-left:447.65pt;margin-top:8pt;width:24pt;height:34pt;z-index:251658240;visibility:visible;mso-wrap-distance-left:9.05pt;mso-wrap-distance-right:9.05pt" filled="t">
            <v:imagedata r:id="rId5" o:title=""/>
          </v:shape>
        </w:pict>
      </w:r>
    </w:p>
    <w:p w:rsidR="001560E1" w:rsidRDefault="001560E1" w:rsidP="00C547FB">
      <w:pPr>
        <w:tabs>
          <w:tab w:val="left" w:pos="480"/>
        </w:tabs>
        <w:jc w:val="right"/>
        <w:rPr>
          <w:rFonts w:ascii="Calibri" w:hAnsi="Calibri"/>
          <w:sz w:val="22"/>
          <w:szCs w:val="22"/>
        </w:rPr>
      </w:pPr>
    </w:p>
    <w:p w:rsidR="001560E1" w:rsidRPr="00203C19" w:rsidRDefault="001560E1" w:rsidP="00203C19">
      <w:pPr>
        <w:tabs>
          <w:tab w:val="left" w:pos="480"/>
        </w:tabs>
        <w:ind w:left="-426"/>
        <w:rPr>
          <w:rFonts w:ascii="Calibri" w:hAnsi="Calibri"/>
          <w:b/>
          <w:sz w:val="22"/>
          <w:szCs w:val="22"/>
        </w:rPr>
      </w:pPr>
      <w:r w:rsidRPr="00203C19">
        <w:rPr>
          <w:rFonts w:ascii="Calibri" w:hAnsi="Calibri"/>
          <w:b/>
          <w:sz w:val="22"/>
          <w:szCs w:val="22"/>
        </w:rPr>
        <w:t>NAO 2016</w:t>
      </w:r>
      <w:r>
        <w:rPr>
          <w:rFonts w:ascii="Calibri" w:hAnsi="Calibri"/>
          <w:b/>
          <w:sz w:val="22"/>
          <w:szCs w:val="22"/>
        </w:rPr>
        <w:t>.</w:t>
      </w:r>
      <w:r w:rsidRPr="00203C1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C</w:t>
      </w:r>
      <w:r w:rsidRPr="00203C19">
        <w:rPr>
          <w:rFonts w:ascii="Calibri" w:hAnsi="Calibri"/>
          <w:b/>
          <w:sz w:val="22"/>
          <w:szCs w:val="22"/>
        </w:rPr>
        <w:t>ontacte-nous très rapidement pour nous faire part de tes revendications !</w:t>
      </w:r>
    </w:p>
    <w:p w:rsidR="001560E1" w:rsidRPr="00203C19" w:rsidRDefault="001560E1" w:rsidP="00203C19">
      <w:pPr>
        <w:tabs>
          <w:tab w:val="left" w:pos="480"/>
        </w:tabs>
        <w:ind w:left="-426"/>
        <w:rPr>
          <w:rFonts w:ascii="Calibri" w:hAnsi="Calibri"/>
          <w:b/>
          <w:sz w:val="22"/>
          <w:szCs w:val="22"/>
        </w:rPr>
      </w:pPr>
      <w:r w:rsidRPr="00203C19">
        <w:rPr>
          <w:rFonts w:ascii="Calibri" w:hAnsi="Calibri"/>
          <w:b/>
          <w:sz w:val="22"/>
          <w:szCs w:val="22"/>
        </w:rPr>
        <w:t>La CGT Soitec</w:t>
      </w:r>
      <w:r>
        <w:rPr>
          <w:rFonts w:ascii="Calibri" w:hAnsi="Calibri"/>
          <w:b/>
          <w:sz w:val="22"/>
          <w:szCs w:val="22"/>
        </w:rPr>
        <w:t>, le 22</w:t>
      </w:r>
      <w:r w:rsidRPr="00203C19">
        <w:rPr>
          <w:rFonts w:ascii="Calibri" w:hAnsi="Calibri"/>
          <w:b/>
          <w:sz w:val="22"/>
          <w:szCs w:val="22"/>
        </w:rPr>
        <w:t xml:space="preserve"> mai 2016</w:t>
      </w:r>
    </w:p>
    <w:p w:rsidR="001560E1" w:rsidRPr="00203C19" w:rsidRDefault="001560E1" w:rsidP="00203C19">
      <w:pPr>
        <w:tabs>
          <w:tab w:val="left" w:pos="480"/>
        </w:tabs>
        <w:ind w:left="-426"/>
        <w:rPr>
          <w:rFonts w:ascii="Calibri" w:hAnsi="Calibri"/>
          <w:b/>
          <w:sz w:val="22"/>
          <w:szCs w:val="22"/>
        </w:rPr>
      </w:pPr>
      <w:hyperlink r:id="rId10" w:history="1">
        <w:r w:rsidRPr="00203C19">
          <w:rPr>
            <w:rStyle w:val="Hyperlink"/>
            <w:rFonts w:ascii="Calibri" w:hAnsi="Calibri"/>
            <w:b/>
            <w:sz w:val="22"/>
            <w:szCs w:val="22"/>
          </w:rPr>
          <w:t>cgt.soitec38@gmail.com</w:t>
        </w:r>
      </w:hyperlink>
    </w:p>
    <w:sectPr w:rsidR="001560E1" w:rsidRPr="00203C19" w:rsidSect="006B33FD">
      <w:pgSz w:w="11906" w:h="16838" w:code="9"/>
      <w:pgMar w:top="851" w:right="720" w:bottom="142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F39"/>
    <w:multiLevelType w:val="hybridMultilevel"/>
    <w:tmpl w:val="41220400"/>
    <w:lvl w:ilvl="0" w:tplc="F4C6084A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770A"/>
    <w:multiLevelType w:val="hybridMultilevel"/>
    <w:tmpl w:val="F5986F56"/>
    <w:lvl w:ilvl="0" w:tplc="CB1C8B0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5D92956"/>
    <w:multiLevelType w:val="hybridMultilevel"/>
    <w:tmpl w:val="C070079C"/>
    <w:lvl w:ilvl="0" w:tplc="040C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366D26CC"/>
    <w:multiLevelType w:val="hybridMultilevel"/>
    <w:tmpl w:val="4AA04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5186E"/>
    <w:multiLevelType w:val="hybridMultilevel"/>
    <w:tmpl w:val="CC846250"/>
    <w:lvl w:ilvl="0" w:tplc="CB1C8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F57889"/>
    <w:multiLevelType w:val="hybridMultilevel"/>
    <w:tmpl w:val="FF728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C98"/>
    <w:rsid w:val="00014F62"/>
    <w:rsid w:val="00020911"/>
    <w:rsid w:val="000464EF"/>
    <w:rsid w:val="000473EC"/>
    <w:rsid w:val="0006323A"/>
    <w:rsid w:val="00092EB5"/>
    <w:rsid w:val="000A692D"/>
    <w:rsid w:val="000B1DB6"/>
    <w:rsid w:val="000B6017"/>
    <w:rsid w:val="000C2D7C"/>
    <w:rsid w:val="000F07A2"/>
    <w:rsid w:val="0012548E"/>
    <w:rsid w:val="00130359"/>
    <w:rsid w:val="001560E1"/>
    <w:rsid w:val="00162FD5"/>
    <w:rsid w:val="001630D5"/>
    <w:rsid w:val="00165BCF"/>
    <w:rsid w:val="00177AB4"/>
    <w:rsid w:val="00195753"/>
    <w:rsid w:val="001A4C98"/>
    <w:rsid w:val="001D5720"/>
    <w:rsid w:val="001D7125"/>
    <w:rsid w:val="001F018C"/>
    <w:rsid w:val="00203C19"/>
    <w:rsid w:val="0021503E"/>
    <w:rsid w:val="002229C9"/>
    <w:rsid w:val="00232999"/>
    <w:rsid w:val="00235E72"/>
    <w:rsid w:val="002540C8"/>
    <w:rsid w:val="002815DA"/>
    <w:rsid w:val="002F249D"/>
    <w:rsid w:val="00327AA3"/>
    <w:rsid w:val="003335AA"/>
    <w:rsid w:val="00341D24"/>
    <w:rsid w:val="003467A3"/>
    <w:rsid w:val="003673D2"/>
    <w:rsid w:val="00371FC4"/>
    <w:rsid w:val="003808B3"/>
    <w:rsid w:val="0038390A"/>
    <w:rsid w:val="00410A93"/>
    <w:rsid w:val="00442FBC"/>
    <w:rsid w:val="004571E0"/>
    <w:rsid w:val="00465134"/>
    <w:rsid w:val="00481DFB"/>
    <w:rsid w:val="004A5CBE"/>
    <w:rsid w:val="004B5372"/>
    <w:rsid w:val="004C7751"/>
    <w:rsid w:val="004D692C"/>
    <w:rsid w:val="004E3747"/>
    <w:rsid w:val="004F4CC6"/>
    <w:rsid w:val="00526554"/>
    <w:rsid w:val="00542B36"/>
    <w:rsid w:val="00550C09"/>
    <w:rsid w:val="005A3367"/>
    <w:rsid w:val="005A4C33"/>
    <w:rsid w:val="005B3324"/>
    <w:rsid w:val="005E1C00"/>
    <w:rsid w:val="005F304E"/>
    <w:rsid w:val="006125A5"/>
    <w:rsid w:val="00622231"/>
    <w:rsid w:val="006337C9"/>
    <w:rsid w:val="00653924"/>
    <w:rsid w:val="00653F27"/>
    <w:rsid w:val="00661B75"/>
    <w:rsid w:val="006A1025"/>
    <w:rsid w:val="006A6131"/>
    <w:rsid w:val="006B33FD"/>
    <w:rsid w:val="006B4A3E"/>
    <w:rsid w:val="006B641B"/>
    <w:rsid w:val="006B645F"/>
    <w:rsid w:val="006C0A80"/>
    <w:rsid w:val="006C410D"/>
    <w:rsid w:val="006D202F"/>
    <w:rsid w:val="006D398B"/>
    <w:rsid w:val="006E22F4"/>
    <w:rsid w:val="007177B8"/>
    <w:rsid w:val="00730490"/>
    <w:rsid w:val="0075059A"/>
    <w:rsid w:val="00756F92"/>
    <w:rsid w:val="00761931"/>
    <w:rsid w:val="0077499F"/>
    <w:rsid w:val="0077544D"/>
    <w:rsid w:val="007912A8"/>
    <w:rsid w:val="007C7ACC"/>
    <w:rsid w:val="007D07E6"/>
    <w:rsid w:val="007F528E"/>
    <w:rsid w:val="0081298D"/>
    <w:rsid w:val="00837E71"/>
    <w:rsid w:val="00855328"/>
    <w:rsid w:val="00856F9A"/>
    <w:rsid w:val="008A54B4"/>
    <w:rsid w:val="008C05AB"/>
    <w:rsid w:val="008D5B27"/>
    <w:rsid w:val="008E381C"/>
    <w:rsid w:val="008E7221"/>
    <w:rsid w:val="0092552D"/>
    <w:rsid w:val="00942E33"/>
    <w:rsid w:val="00952A19"/>
    <w:rsid w:val="0097002F"/>
    <w:rsid w:val="00972900"/>
    <w:rsid w:val="00982430"/>
    <w:rsid w:val="00991358"/>
    <w:rsid w:val="0099645E"/>
    <w:rsid w:val="009A59DC"/>
    <w:rsid w:val="009B03AB"/>
    <w:rsid w:val="009D6D06"/>
    <w:rsid w:val="009E0492"/>
    <w:rsid w:val="009E4559"/>
    <w:rsid w:val="00A47462"/>
    <w:rsid w:val="00A51ECF"/>
    <w:rsid w:val="00A53580"/>
    <w:rsid w:val="00A76E4B"/>
    <w:rsid w:val="00A812F1"/>
    <w:rsid w:val="00A83A23"/>
    <w:rsid w:val="00AA0BBC"/>
    <w:rsid w:val="00AA194D"/>
    <w:rsid w:val="00AB0C8C"/>
    <w:rsid w:val="00AC21CD"/>
    <w:rsid w:val="00AC36E7"/>
    <w:rsid w:val="00AF71AD"/>
    <w:rsid w:val="00B11E28"/>
    <w:rsid w:val="00B5585A"/>
    <w:rsid w:val="00B668E9"/>
    <w:rsid w:val="00B67569"/>
    <w:rsid w:val="00B76B54"/>
    <w:rsid w:val="00B93146"/>
    <w:rsid w:val="00B941BB"/>
    <w:rsid w:val="00BD441A"/>
    <w:rsid w:val="00BF45D4"/>
    <w:rsid w:val="00C01A7E"/>
    <w:rsid w:val="00C04490"/>
    <w:rsid w:val="00C54648"/>
    <w:rsid w:val="00C547FB"/>
    <w:rsid w:val="00C81E7D"/>
    <w:rsid w:val="00C861E3"/>
    <w:rsid w:val="00C864A0"/>
    <w:rsid w:val="00CC2B2E"/>
    <w:rsid w:val="00CC5036"/>
    <w:rsid w:val="00CE6630"/>
    <w:rsid w:val="00D003C3"/>
    <w:rsid w:val="00D03D23"/>
    <w:rsid w:val="00D15569"/>
    <w:rsid w:val="00D45970"/>
    <w:rsid w:val="00D71579"/>
    <w:rsid w:val="00DB4039"/>
    <w:rsid w:val="00DB7A57"/>
    <w:rsid w:val="00DD32FC"/>
    <w:rsid w:val="00DF3696"/>
    <w:rsid w:val="00E24CF4"/>
    <w:rsid w:val="00E3241B"/>
    <w:rsid w:val="00E878E7"/>
    <w:rsid w:val="00E97633"/>
    <w:rsid w:val="00EA1EDF"/>
    <w:rsid w:val="00EA72DC"/>
    <w:rsid w:val="00EB0067"/>
    <w:rsid w:val="00EC617F"/>
    <w:rsid w:val="00EC6A93"/>
    <w:rsid w:val="00ED2BDB"/>
    <w:rsid w:val="00F116A6"/>
    <w:rsid w:val="00F14650"/>
    <w:rsid w:val="00F16525"/>
    <w:rsid w:val="00F20063"/>
    <w:rsid w:val="00F24F0C"/>
    <w:rsid w:val="00F405A0"/>
    <w:rsid w:val="00F50685"/>
    <w:rsid w:val="00F56A95"/>
    <w:rsid w:val="00F9016F"/>
    <w:rsid w:val="00FB0E31"/>
    <w:rsid w:val="00FB427C"/>
    <w:rsid w:val="00FC00E8"/>
    <w:rsid w:val="00FD5DA9"/>
    <w:rsid w:val="00FE24E9"/>
    <w:rsid w:val="00FF1C23"/>
    <w:rsid w:val="00F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9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5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56F9A"/>
    <w:pPr>
      <w:ind w:left="708"/>
    </w:pPr>
  </w:style>
  <w:style w:type="character" w:styleId="Hyperlink">
    <w:name w:val="Hyperlink"/>
    <w:basedOn w:val="DefaultParagraphFont"/>
    <w:uiPriority w:val="99"/>
    <w:rsid w:val="00B11E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0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gt.soitec3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2</Pages>
  <Words>902</Words>
  <Characters>4967</Characters>
  <Application>Microsoft Office Outlook</Application>
  <DocSecurity>0</DocSecurity>
  <Lines>0</Lines>
  <Paragraphs>0</Paragraphs>
  <ScaleCrop>false</ScaleCrop>
  <Company>Soitec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fll</dc:creator>
  <cp:keywords/>
  <dc:description/>
  <cp:lastModifiedBy>fll</cp:lastModifiedBy>
  <cp:revision>338</cp:revision>
  <cp:lastPrinted>2016-05-23T07:30:00Z</cp:lastPrinted>
  <dcterms:created xsi:type="dcterms:W3CDTF">2016-05-20T15:32:00Z</dcterms:created>
  <dcterms:modified xsi:type="dcterms:W3CDTF">2016-05-23T07:38:00Z</dcterms:modified>
</cp:coreProperties>
</file>