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DC" w:rsidRPr="00CA2BBB" w:rsidRDefault="00182FDC" w:rsidP="00CA2BBB">
      <w:pPr>
        <w:ind w:left="284" w:right="-851"/>
        <w:jc w:val="center"/>
        <w:rPr>
          <w:rFonts w:ascii="Arial Black" w:hAnsi="Arial Black"/>
          <w:b/>
          <w:bCs/>
          <w:sz w:val="48"/>
          <w:szCs w:val="48"/>
        </w:rPr>
      </w:pPr>
      <w:r>
        <w:rPr>
          <w:rFonts w:ascii="Arial Black" w:hAnsi="Arial Black"/>
          <w:b/>
          <w:bCs/>
          <w:sz w:val="48"/>
          <w:szCs w:val="48"/>
        </w:rPr>
        <w:t>NAO 2016</w:t>
      </w:r>
      <w:r w:rsidRPr="00CA2BBB">
        <w:rPr>
          <w:rFonts w:ascii="Arial Black" w:hAnsi="Arial Black"/>
          <w:b/>
          <w:bCs/>
          <w:sz w:val="48"/>
          <w:szCs w:val="48"/>
        </w:rPr>
        <w:t xml:space="preserve"> : REVENDICATIONS CGT </w:t>
      </w:r>
    </w:p>
    <w:p w:rsidR="00182FDC" w:rsidRDefault="00182FDC" w:rsidP="00CA2BBB">
      <w:pPr>
        <w:ind w:left="284" w:right="-851"/>
        <w:jc w:val="center"/>
        <w:rPr>
          <w:b/>
          <w:bCs/>
          <w:color w:val="000080"/>
        </w:rPr>
      </w:pPr>
    </w:p>
    <w:p w:rsidR="00DC4AF2" w:rsidRDefault="00DC4AF2" w:rsidP="00CA2BBB">
      <w:pPr>
        <w:ind w:left="284" w:right="-851"/>
        <w:jc w:val="center"/>
        <w:rPr>
          <w:b/>
          <w:bCs/>
          <w:color w:val="000080"/>
        </w:rPr>
      </w:pPr>
    </w:p>
    <w:p w:rsidR="00182FDC" w:rsidRPr="009D1173" w:rsidRDefault="00182FDC" w:rsidP="00F20586">
      <w:pPr>
        <w:ind w:left="360" w:right="-851"/>
        <w:rPr>
          <w:rFonts w:ascii="Calibri" w:hAnsi="Calibri"/>
          <w:b/>
          <w:bCs/>
          <w:color w:val="FF0000"/>
          <w:sz w:val="36"/>
          <w:szCs w:val="36"/>
        </w:rPr>
      </w:pPr>
      <w:r w:rsidRPr="009D1173">
        <w:rPr>
          <w:rFonts w:ascii="Calibri" w:hAnsi="Calibri"/>
          <w:b/>
          <w:bCs/>
          <w:color w:val="FF0000"/>
          <w:sz w:val="36"/>
          <w:szCs w:val="36"/>
        </w:rPr>
        <w:t>SALAIRES</w:t>
      </w:r>
    </w:p>
    <w:p w:rsidR="00182FDC" w:rsidRPr="00CA2BBB" w:rsidRDefault="00182FDC" w:rsidP="000E189A">
      <w:pPr>
        <w:ind w:left="360" w:right="-851"/>
        <w:jc w:val="both"/>
        <w:rPr>
          <w:rFonts w:ascii="Calibri" w:hAnsi="Calibri"/>
          <w:b/>
          <w:bCs/>
          <w:color w:val="FF0000"/>
          <w:sz w:val="28"/>
          <w:szCs w:val="28"/>
        </w:rPr>
      </w:pPr>
    </w:p>
    <w:p w:rsidR="00182FDC" w:rsidRPr="00DC4AF2" w:rsidRDefault="00182FDC" w:rsidP="000E189A">
      <w:pPr>
        <w:numPr>
          <w:ilvl w:val="2"/>
          <w:numId w:val="1"/>
        </w:numPr>
        <w:ind w:right="-851"/>
        <w:jc w:val="both"/>
        <w:rPr>
          <w:rFonts w:ascii="Calibri" w:hAnsi="Calibri"/>
          <w:sz w:val="26"/>
          <w:szCs w:val="26"/>
        </w:rPr>
      </w:pPr>
      <w:r w:rsidRPr="00DC4AF2">
        <w:rPr>
          <w:rFonts w:ascii="Calibri" w:hAnsi="Calibri"/>
          <w:b/>
          <w:bCs/>
          <w:sz w:val="26"/>
          <w:szCs w:val="26"/>
        </w:rPr>
        <w:t>Augmentation générale</w:t>
      </w:r>
      <w:r w:rsidRPr="00DC4AF2">
        <w:rPr>
          <w:rFonts w:ascii="Calibri" w:hAnsi="Calibri"/>
          <w:b/>
          <w:sz w:val="26"/>
          <w:szCs w:val="26"/>
        </w:rPr>
        <w:t xml:space="preserve"> : 80€ pour tous </w:t>
      </w:r>
      <w:r w:rsidRPr="00DC4AF2">
        <w:rPr>
          <w:rFonts w:ascii="Calibri" w:hAnsi="Calibri"/>
          <w:sz w:val="26"/>
          <w:szCs w:val="26"/>
        </w:rPr>
        <w:t>(+ 2,2% de la MS)</w:t>
      </w:r>
    </w:p>
    <w:p w:rsidR="00182FDC" w:rsidRPr="00DC4AF2" w:rsidRDefault="00DC4AF2" w:rsidP="00F20586">
      <w:pPr>
        <w:numPr>
          <w:ilvl w:val="2"/>
          <w:numId w:val="1"/>
        </w:numPr>
        <w:ind w:right="-851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-414021</wp:posOffset>
            </wp:positionH>
            <wp:positionV relativeFrom="paragraph">
              <wp:posOffset>309244</wp:posOffset>
            </wp:positionV>
            <wp:extent cx="1095375" cy="1564821"/>
            <wp:effectExtent l="19050" t="0" r="9525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64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2FDC" w:rsidRPr="00DC4AF2">
        <w:rPr>
          <w:rFonts w:ascii="Calibri" w:hAnsi="Calibri"/>
          <w:b/>
          <w:sz w:val="26"/>
          <w:szCs w:val="26"/>
        </w:rPr>
        <w:t xml:space="preserve">Augmentation au mérite en % </w:t>
      </w:r>
      <w:r w:rsidR="00182FDC" w:rsidRPr="00DC4AF2">
        <w:rPr>
          <w:rFonts w:ascii="Calibri" w:hAnsi="Calibri"/>
          <w:sz w:val="26"/>
          <w:szCs w:val="26"/>
        </w:rPr>
        <w:t>(à négocier sur la base d’une première proposition d’enveloppe de la direction)</w:t>
      </w:r>
    </w:p>
    <w:p w:rsidR="003C2961" w:rsidRPr="00DC4AF2" w:rsidRDefault="003C2961" w:rsidP="003C2961">
      <w:pPr>
        <w:numPr>
          <w:ilvl w:val="2"/>
          <w:numId w:val="1"/>
        </w:numPr>
        <w:ind w:right="-851"/>
        <w:jc w:val="both"/>
        <w:rPr>
          <w:rFonts w:ascii="Calibri" w:hAnsi="Calibri"/>
          <w:b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>Ancienneté sur le salaire de base</w:t>
      </w:r>
    </w:p>
    <w:p w:rsidR="003C2961" w:rsidRPr="00DC4AF2" w:rsidRDefault="003C2961" w:rsidP="003C2961">
      <w:pPr>
        <w:numPr>
          <w:ilvl w:val="2"/>
          <w:numId w:val="1"/>
        </w:numPr>
        <w:ind w:right="-851"/>
        <w:jc w:val="both"/>
        <w:rPr>
          <w:rFonts w:ascii="Calibri" w:hAnsi="Calibri"/>
          <w:b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>Revalorisation de la contrainte horaire pour les personnes en équipe</w:t>
      </w:r>
    </w:p>
    <w:p w:rsidR="003C2961" w:rsidRPr="00DC4AF2" w:rsidRDefault="003C2961" w:rsidP="003C2961">
      <w:pPr>
        <w:numPr>
          <w:ilvl w:val="3"/>
          <w:numId w:val="1"/>
        </w:numPr>
        <w:ind w:right="-851"/>
        <w:jc w:val="both"/>
        <w:rPr>
          <w:rFonts w:ascii="Calibri" w:hAnsi="Calibri"/>
          <w:sz w:val="22"/>
          <w:szCs w:val="22"/>
        </w:rPr>
      </w:pPr>
      <w:r w:rsidRPr="00DC4AF2">
        <w:rPr>
          <w:rFonts w:ascii="Calibri" w:hAnsi="Calibri"/>
          <w:sz w:val="22"/>
          <w:szCs w:val="22"/>
        </w:rPr>
        <w:t>Inclusion dans le 13</w:t>
      </w:r>
      <w:r w:rsidRPr="00DC4AF2">
        <w:rPr>
          <w:rFonts w:ascii="Calibri" w:hAnsi="Calibri"/>
          <w:sz w:val="22"/>
          <w:szCs w:val="22"/>
          <w:vertAlign w:val="superscript"/>
        </w:rPr>
        <w:t>ème</w:t>
      </w:r>
      <w:r w:rsidRPr="00DC4AF2">
        <w:rPr>
          <w:rFonts w:ascii="Calibri" w:hAnsi="Calibri"/>
          <w:sz w:val="22"/>
          <w:szCs w:val="22"/>
        </w:rPr>
        <w:t xml:space="preserve"> mois de la prime d’équipe</w:t>
      </w:r>
    </w:p>
    <w:p w:rsidR="003C2961" w:rsidRPr="00DC4AF2" w:rsidRDefault="003C2961" w:rsidP="003C2961">
      <w:pPr>
        <w:ind w:left="4680" w:right="-851"/>
        <w:rPr>
          <w:rFonts w:ascii="Calibri" w:hAnsi="Calibri"/>
          <w:sz w:val="22"/>
          <w:szCs w:val="22"/>
        </w:rPr>
      </w:pPr>
      <w:proofErr w:type="gramStart"/>
      <w:r w:rsidRPr="00DC4AF2">
        <w:rPr>
          <w:rFonts w:ascii="Calibri" w:hAnsi="Calibri"/>
          <w:sz w:val="22"/>
          <w:szCs w:val="22"/>
        </w:rPr>
        <w:t>ou</w:t>
      </w:r>
      <w:proofErr w:type="gramEnd"/>
    </w:p>
    <w:p w:rsidR="003C2961" w:rsidRPr="00DC4AF2" w:rsidRDefault="003C2961" w:rsidP="003C2961">
      <w:pPr>
        <w:numPr>
          <w:ilvl w:val="3"/>
          <w:numId w:val="1"/>
        </w:numPr>
        <w:ind w:right="-851"/>
        <w:jc w:val="both"/>
        <w:rPr>
          <w:rFonts w:ascii="Calibri" w:hAnsi="Calibri"/>
          <w:sz w:val="22"/>
          <w:szCs w:val="22"/>
        </w:rPr>
      </w:pPr>
      <w:r w:rsidRPr="00DC4AF2">
        <w:rPr>
          <w:rFonts w:ascii="Calibri" w:hAnsi="Calibri"/>
          <w:sz w:val="22"/>
          <w:szCs w:val="22"/>
        </w:rPr>
        <w:t>Revalorisation des primes d’équipe (% à négocier)</w:t>
      </w:r>
    </w:p>
    <w:p w:rsidR="00182FDC" w:rsidRPr="00DC4AF2" w:rsidRDefault="00182FDC" w:rsidP="000E189A">
      <w:pPr>
        <w:numPr>
          <w:ilvl w:val="2"/>
          <w:numId w:val="1"/>
        </w:numPr>
        <w:ind w:right="-851"/>
        <w:jc w:val="both"/>
        <w:rPr>
          <w:rFonts w:ascii="Calibri" w:hAnsi="Calibri"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 xml:space="preserve">Généralisation des primes collectives à tous les services </w:t>
      </w:r>
      <w:r w:rsidRPr="00DC4AF2">
        <w:rPr>
          <w:rFonts w:ascii="Calibri" w:hAnsi="Calibri"/>
          <w:sz w:val="26"/>
          <w:szCs w:val="26"/>
        </w:rPr>
        <w:t>(mise en place des critères de déclenchement par les salariés des services concernés via des groupes de travail)</w:t>
      </w:r>
    </w:p>
    <w:p w:rsidR="00641F1E" w:rsidRPr="00DC4AF2" w:rsidRDefault="00641F1E" w:rsidP="00A56BB7">
      <w:pPr>
        <w:numPr>
          <w:ilvl w:val="2"/>
          <w:numId w:val="1"/>
        </w:numPr>
        <w:ind w:right="-851"/>
        <w:jc w:val="both"/>
        <w:rPr>
          <w:rFonts w:ascii="Calibri" w:hAnsi="Calibri"/>
          <w:b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>Prime d’ancienneté pour les IC jusqu’à C3 inclus</w:t>
      </w:r>
      <w:r w:rsidR="001426DE" w:rsidRPr="00DC4AF2">
        <w:rPr>
          <w:rFonts w:ascii="Calibri" w:hAnsi="Calibri"/>
          <w:b/>
          <w:sz w:val="26"/>
          <w:szCs w:val="26"/>
        </w:rPr>
        <w:t xml:space="preserve"> </w:t>
      </w:r>
      <w:r w:rsidR="001426DE" w:rsidRPr="00DC4AF2">
        <w:rPr>
          <w:rFonts w:ascii="Calibri" w:hAnsi="Calibri"/>
          <w:sz w:val="26"/>
          <w:szCs w:val="26"/>
        </w:rPr>
        <w:t>(</w:t>
      </w:r>
      <w:r w:rsidR="003C2961" w:rsidRPr="00DC4AF2">
        <w:rPr>
          <w:rFonts w:ascii="Calibri" w:hAnsi="Calibri"/>
          <w:sz w:val="26"/>
          <w:szCs w:val="26"/>
        </w:rPr>
        <w:t>valorisation de l’ancienneté comme le prévoit notre convention collective, modalités à négocier</w:t>
      </w:r>
      <w:r w:rsidR="001426DE" w:rsidRPr="00DC4AF2">
        <w:rPr>
          <w:rFonts w:ascii="Calibri" w:hAnsi="Calibri"/>
          <w:sz w:val="26"/>
          <w:szCs w:val="26"/>
        </w:rPr>
        <w:t>)</w:t>
      </w:r>
    </w:p>
    <w:p w:rsidR="00C95C7A" w:rsidRPr="00DC4AF2" w:rsidRDefault="00C95C7A" w:rsidP="00A56BB7">
      <w:pPr>
        <w:numPr>
          <w:ilvl w:val="2"/>
          <w:numId w:val="1"/>
        </w:numPr>
        <w:ind w:right="-851"/>
        <w:jc w:val="both"/>
        <w:rPr>
          <w:rFonts w:ascii="Calibri" w:hAnsi="Calibri"/>
          <w:b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>Revalorisation de la PSO</w:t>
      </w:r>
    </w:p>
    <w:p w:rsidR="00182FDC" w:rsidRDefault="00182FDC" w:rsidP="00E271F1">
      <w:pPr>
        <w:ind w:left="360" w:right="-851"/>
        <w:jc w:val="both"/>
        <w:rPr>
          <w:rFonts w:ascii="Calibri" w:hAnsi="Calibri"/>
          <w:b/>
          <w:bCs/>
          <w:color w:val="FF0000"/>
          <w:sz w:val="20"/>
          <w:szCs w:val="20"/>
        </w:rPr>
      </w:pPr>
    </w:p>
    <w:p w:rsidR="00DC4AF2" w:rsidRPr="007336A2" w:rsidRDefault="00DC4AF2" w:rsidP="00E271F1">
      <w:pPr>
        <w:ind w:left="360" w:right="-851"/>
        <w:jc w:val="both"/>
        <w:rPr>
          <w:rFonts w:ascii="Calibri" w:hAnsi="Calibri"/>
          <w:b/>
          <w:bCs/>
          <w:color w:val="FF0000"/>
          <w:sz w:val="20"/>
          <w:szCs w:val="20"/>
        </w:rPr>
      </w:pPr>
    </w:p>
    <w:p w:rsidR="00182FDC" w:rsidRPr="009D1173" w:rsidRDefault="00182FDC" w:rsidP="00F20586">
      <w:pPr>
        <w:ind w:left="360" w:right="-851"/>
        <w:rPr>
          <w:rFonts w:ascii="Calibri" w:hAnsi="Calibri"/>
          <w:b/>
          <w:bCs/>
          <w:color w:val="FF0000"/>
          <w:sz w:val="36"/>
          <w:szCs w:val="36"/>
        </w:rPr>
      </w:pPr>
      <w:r>
        <w:rPr>
          <w:rFonts w:ascii="Calibri" w:hAnsi="Calibri"/>
          <w:b/>
          <w:bCs/>
          <w:color w:val="FF0000"/>
          <w:sz w:val="36"/>
          <w:szCs w:val="36"/>
        </w:rPr>
        <w:t>EVOLUTION</w:t>
      </w:r>
    </w:p>
    <w:p w:rsidR="00182FDC" w:rsidRPr="00CA2BBB" w:rsidRDefault="00182FDC" w:rsidP="00E271F1">
      <w:pPr>
        <w:ind w:left="360" w:right="-851"/>
        <w:jc w:val="both"/>
        <w:rPr>
          <w:rFonts w:ascii="Calibri" w:hAnsi="Calibri"/>
          <w:b/>
          <w:bCs/>
          <w:color w:val="FF0000"/>
          <w:sz w:val="28"/>
          <w:szCs w:val="28"/>
        </w:rPr>
      </w:pPr>
    </w:p>
    <w:p w:rsidR="00182FDC" w:rsidRPr="008A7D04" w:rsidRDefault="00182FDC" w:rsidP="00E271F1">
      <w:pPr>
        <w:numPr>
          <w:ilvl w:val="2"/>
          <w:numId w:val="2"/>
        </w:numPr>
        <w:ind w:right="-851"/>
        <w:jc w:val="both"/>
        <w:rPr>
          <w:rFonts w:ascii="Calibri" w:hAnsi="Calibri"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 xml:space="preserve">Négociation concernant le nombre d’évolutions et de chartes d’évolution par CSP </w:t>
      </w:r>
      <w:r w:rsidRPr="008A7D04">
        <w:rPr>
          <w:rFonts w:ascii="Calibri" w:hAnsi="Calibri"/>
          <w:sz w:val="26"/>
          <w:szCs w:val="26"/>
        </w:rPr>
        <w:t>(sur la base d’un rappel de l’historique à 10 ans)</w:t>
      </w:r>
    </w:p>
    <w:p w:rsidR="001426DE" w:rsidRPr="00DC4AF2" w:rsidRDefault="00DC4AF2" w:rsidP="00E271F1">
      <w:pPr>
        <w:numPr>
          <w:ilvl w:val="2"/>
          <w:numId w:val="2"/>
        </w:numPr>
        <w:ind w:right="-851"/>
        <w:jc w:val="both"/>
        <w:rPr>
          <w:rFonts w:ascii="Calibri" w:hAnsi="Calibri"/>
          <w:b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>Démarrage de négociation</w:t>
      </w:r>
      <w:r w:rsidR="001426DE" w:rsidRPr="00DC4AF2">
        <w:rPr>
          <w:rFonts w:ascii="Calibri" w:hAnsi="Calibri"/>
          <w:b/>
          <w:sz w:val="26"/>
          <w:szCs w:val="26"/>
        </w:rPr>
        <w:t xml:space="preserve"> </w:t>
      </w:r>
      <w:r w:rsidR="001426DE" w:rsidRPr="008A7D04">
        <w:rPr>
          <w:rFonts w:ascii="Calibri" w:hAnsi="Calibri"/>
          <w:sz w:val="26"/>
          <w:szCs w:val="26"/>
        </w:rPr>
        <w:t>(engagement NAO 2015)</w:t>
      </w:r>
    </w:p>
    <w:p w:rsidR="00182FDC" w:rsidRDefault="00182FDC" w:rsidP="000E189A">
      <w:pPr>
        <w:ind w:left="360" w:right="-851"/>
        <w:jc w:val="both"/>
        <w:rPr>
          <w:rFonts w:ascii="Calibri" w:hAnsi="Calibri"/>
          <w:b/>
          <w:bCs/>
          <w:color w:val="FF0000"/>
          <w:sz w:val="20"/>
          <w:szCs w:val="20"/>
        </w:rPr>
      </w:pPr>
    </w:p>
    <w:p w:rsidR="00DC4AF2" w:rsidRPr="007336A2" w:rsidRDefault="00DC4AF2" w:rsidP="000E189A">
      <w:pPr>
        <w:ind w:left="360" w:right="-851"/>
        <w:jc w:val="both"/>
        <w:rPr>
          <w:rFonts w:ascii="Calibri" w:hAnsi="Calibri"/>
          <w:b/>
          <w:bCs/>
          <w:color w:val="FF0000"/>
          <w:sz w:val="20"/>
          <w:szCs w:val="20"/>
        </w:rPr>
      </w:pPr>
    </w:p>
    <w:p w:rsidR="00182FDC" w:rsidRPr="009D1173" w:rsidRDefault="00182FDC" w:rsidP="00F20586">
      <w:pPr>
        <w:ind w:left="360" w:right="-851"/>
        <w:rPr>
          <w:rFonts w:ascii="Calibri" w:hAnsi="Calibri"/>
          <w:b/>
          <w:bCs/>
          <w:color w:val="FF0000"/>
          <w:sz w:val="36"/>
          <w:szCs w:val="36"/>
        </w:rPr>
      </w:pPr>
      <w:r>
        <w:rPr>
          <w:rFonts w:ascii="Calibri" w:hAnsi="Calibri"/>
          <w:b/>
          <w:bCs/>
          <w:color w:val="FF0000"/>
          <w:sz w:val="36"/>
          <w:szCs w:val="36"/>
        </w:rPr>
        <w:t>TEMPS DE TRAVAIL ET CONDITIONS DE TRAVAIL</w:t>
      </w:r>
    </w:p>
    <w:p w:rsidR="00182FDC" w:rsidRPr="00CA2BBB" w:rsidRDefault="00182FDC" w:rsidP="000E189A">
      <w:pPr>
        <w:ind w:left="360" w:right="-851"/>
        <w:jc w:val="both"/>
        <w:rPr>
          <w:rFonts w:ascii="Calibri" w:hAnsi="Calibri"/>
          <w:b/>
          <w:bCs/>
          <w:color w:val="FF0000"/>
          <w:sz w:val="28"/>
          <w:szCs w:val="28"/>
        </w:rPr>
      </w:pPr>
    </w:p>
    <w:p w:rsidR="00182FDC" w:rsidRPr="00DC4AF2" w:rsidRDefault="00182FDC" w:rsidP="00FC4610">
      <w:pPr>
        <w:numPr>
          <w:ilvl w:val="2"/>
          <w:numId w:val="2"/>
        </w:numPr>
        <w:ind w:right="-851"/>
        <w:jc w:val="both"/>
        <w:rPr>
          <w:rFonts w:ascii="Calibri" w:hAnsi="Calibri"/>
          <w:b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 xml:space="preserve">Temps partiel ouvert à </w:t>
      </w:r>
      <w:proofErr w:type="spellStart"/>
      <w:r w:rsidRPr="00DC4AF2">
        <w:rPr>
          <w:rFonts w:ascii="Calibri" w:hAnsi="Calibri"/>
          <w:b/>
          <w:sz w:val="26"/>
          <w:szCs w:val="26"/>
        </w:rPr>
        <w:t>tou</w:t>
      </w:r>
      <w:proofErr w:type="spellEnd"/>
      <w:r w:rsidR="00DC4AF2" w:rsidRPr="00DC4AF2">
        <w:rPr>
          <w:rFonts w:ascii="Calibri" w:hAnsi="Calibri"/>
          <w:b/>
          <w:sz w:val="26"/>
          <w:szCs w:val="26"/>
        </w:rPr>
        <w:t>(te)</w:t>
      </w:r>
      <w:r w:rsidRPr="00DC4AF2">
        <w:rPr>
          <w:rFonts w:ascii="Calibri" w:hAnsi="Calibri"/>
          <w:b/>
          <w:sz w:val="26"/>
          <w:szCs w:val="26"/>
        </w:rPr>
        <w:t>s incluant le personnel en équipe</w:t>
      </w:r>
    </w:p>
    <w:p w:rsidR="00182FDC" w:rsidRPr="00DC4AF2" w:rsidRDefault="00182FDC" w:rsidP="00FC4610">
      <w:pPr>
        <w:numPr>
          <w:ilvl w:val="2"/>
          <w:numId w:val="2"/>
        </w:numPr>
        <w:ind w:right="-851"/>
        <w:jc w:val="both"/>
        <w:rPr>
          <w:rFonts w:ascii="Calibri" w:hAnsi="Calibri"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 xml:space="preserve">Forfait jour : renégociation de l’accord ARTT </w:t>
      </w:r>
      <w:proofErr w:type="spellStart"/>
      <w:r w:rsidRPr="00DC4AF2">
        <w:rPr>
          <w:rFonts w:ascii="Calibri" w:hAnsi="Calibri"/>
          <w:b/>
          <w:sz w:val="26"/>
          <w:szCs w:val="26"/>
        </w:rPr>
        <w:t>ingé</w:t>
      </w:r>
      <w:proofErr w:type="spellEnd"/>
      <w:r w:rsidRPr="00DC4AF2">
        <w:rPr>
          <w:rFonts w:ascii="Calibri" w:hAnsi="Calibri"/>
          <w:b/>
          <w:sz w:val="26"/>
          <w:szCs w:val="26"/>
        </w:rPr>
        <w:t xml:space="preserve">/cadre pour mise en conformité avec la Charte Sociale Européenne </w:t>
      </w:r>
      <w:r w:rsidRPr="00DC4AF2">
        <w:rPr>
          <w:rFonts w:ascii="Calibri" w:hAnsi="Calibri"/>
          <w:sz w:val="26"/>
          <w:szCs w:val="26"/>
        </w:rPr>
        <w:t>(</w:t>
      </w:r>
      <w:r w:rsidR="00DC4AF2" w:rsidRPr="00DC4AF2">
        <w:rPr>
          <w:rFonts w:ascii="Calibri" w:hAnsi="Calibri"/>
          <w:sz w:val="26"/>
          <w:szCs w:val="26"/>
        </w:rPr>
        <w:t xml:space="preserve">dont </w:t>
      </w:r>
      <w:r w:rsidRPr="00DC4AF2">
        <w:rPr>
          <w:rFonts w:ascii="Calibri" w:hAnsi="Calibri"/>
          <w:sz w:val="26"/>
          <w:szCs w:val="26"/>
        </w:rPr>
        <w:t>suppression jusqu’au niveau C3 inclus à la demande du salarié…)</w:t>
      </w:r>
    </w:p>
    <w:p w:rsidR="00182FDC" w:rsidRPr="00DC4AF2" w:rsidRDefault="00182FDC" w:rsidP="00FC4610">
      <w:pPr>
        <w:numPr>
          <w:ilvl w:val="2"/>
          <w:numId w:val="2"/>
        </w:numPr>
        <w:ind w:right="-851"/>
        <w:jc w:val="both"/>
        <w:rPr>
          <w:rFonts w:ascii="Calibri" w:hAnsi="Calibri"/>
          <w:b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>+1 jour de RTT pour les salariés en équipe de plus de 50 ans</w:t>
      </w:r>
    </w:p>
    <w:p w:rsidR="00182FDC" w:rsidRDefault="00182FDC" w:rsidP="000E189A">
      <w:pPr>
        <w:ind w:left="1800" w:right="-851"/>
        <w:jc w:val="both"/>
        <w:rPr>
          <w:rFonts w:ascii="Calibri" w:hAnsi="Calibri"/>
          <w:sz w:val="20"/>
          <w:szCs w:val="20"/>
        </w:rPr>
      </w:pPr>
    </w:p>
    <w:p w:rsidR="00DC4AF2" w:rsidRPr="003E6E72" w:rsidRDefault="00DC4AF2" w:rsidP="000E189A">
      <w:pPr>
        <w:ind w:left="1800" w:right="-851"/>
        <w:jc w:val="both"/>
        <w:rPr>
          <w:rFonts w:ascii="Calibri" w:hAnsi="Calibri"/>
          <w:sz w:val="20"/>
          <w:szCs w:val="20"/>
        </w:rPr>
      </w:pPr>
    </w:p>
    <w:p w:rsidR="00182FDC" w:rsidRPr="009D1173" w:rsidRDefault="00182FDC" w:rsidP="003C1981">
      <w:pPr>
        <w:ind w:left="360" w:right="-851"/>
        <w:jc w:val="both"/>
        <w:rPr>
          <w:rFonts w:ascii="Calibri" w:hAnsi="Calibri"/>
          <w:b/>
          <w:bCs/>
          <w:color w:val="FF0000"/>
          <w:sz w:val="36"/>
          <w:szCs w:val="36"/>
        </w:rPr>
      </w:pPr>
      <w:r>
        <w:rPr>
          <w:rFonts w:ascii="Calibri" w:hAnsi="Calibri"/>
          <w:b/>
          <w:bCs/>
          <w:color w:val="FF0000"/>
          <w:sz w:val="36"/>
          <w:szCs w:val="36"/>
        </w:rPr>
        <w:t>AVANTAGES ET ACQUIS SOCIAUX</w:t>
      </w:r>
    </w:p>
    <w:p w:rsidR="00182FDC" w:rsidRPr="00DC4AF2" w:rsidRDefault="00182FDC" w:rsidP="003C1981">
      <w:pPr>
        <w:ind w:left="360" w:right="-851"/>
        <w:jc w:val="both"/>
        <w:rPr>
          <w:rFonts w:ascii="Calibri" w:hAnsi="Calibri"/>
          <w:b/>
          <w:bCs/>
          <w:color w:val="FF0000"/>
          <w:sz w:val="32"/>
          <w:szCs w:val="32"/>
        </w:rPr>
      </w:pPr>
    </w:p>
    <w:p w:rsidR="00182FDC" w:rsidRPr="00DC4AF2" w:rsidRDefault="00DC4AF2" w:rsidP="00F20586">
      <w:pPr>
        <w:numPr>
          <w:ilvl w:val="2"/>
          <w:numId w:val="2"/>
        </w:numPr>
        <w:ind w:right="-851"/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262255</wp:posOffset>
            </wp:positionV>
            <wp:extent cx="1614170" cy="1066800"/>
            <wp:effectExtent l="19050" t="0" r="508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2FDC" w:rsidRPr="00DC4AF2">
        <w:rPr>
          <w:rFonts w:ascii="Calibri" w:hAnsi="Calibri"/>
          <w:b/>
          <w:sz w:val="26"/>
          <w:szCs w:val="26"/>
        </w:rPr>
        <w:t xml:space="preserve">Jours « enfant malade » : 3 jours </w:t>
      </w:r>
      <w:r w:rsidR="00182FDC" w:rsidRPr="00DC4AF2">
        <w:rPr>
          <w:rFonts w:ascii="Calibri" w:hAnsi="Calibri"/>
          <w:sz w:val="26"/>
          <w:szCs w:val="26"/>
        </w:rPr>
        <w:t>(entiers sur justificatif et sans limitation d’âge en cas d’hospitalisation)</w:t>
      </w:r>
    </w:p>
    <w:p w:rsidR="00182FDC" w:rsidRPr="00DC4AF2" w:rsidRDefault="00DC4AF2" w:rsidP="00F20586">
      <w:pPr>
        <w:numPr>
          <w:ilvl w:val="2"/>
          <w:numId w:val="2"/>
        </w:numPr>
        <w:ind w:right="-851"/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drawing>
          <wp:anchor distT="0" distB="0" distL="114935" distR="114935" simplePos="0" relativeHeight="251659776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173355</wp:posOffset>
            </wp:positionV>
            <wp:extent cx="304800" cy="428625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182FDC" w:rsidRPr="00DC4AF2">
        <w:rPr>
          <w:rFonts w:ascii="Calibri" w:hAnsi="Calibri"/>
          <w:b/>
          <w:sz w:val="26"/>
          <w:szCs w:val="26"/>
        </w:rPr>
        <w:t xml:space="preserve">Garantie de l’augmentation moyenne pendant un congé parental </w:t>
      </w:r>
      <w:r w:rsidR="00182FDC" w:rsidRPr="00DC4AF2">
        <w:rPr>
          <w:rFonts w:ascii="Calibri" w:hAnsi="Calibri"/>
          <w:sz w:val="26"/>
          <w:szCs w:val="26"/>
        </w:rPr>
        <w:t>(idem cadre légal congé maternité</w:t>
      </w:r>
      <w:r w:rsidRPr="00DC4AF2">
        <w:rPr>
          <w:rFonts w:ascii="Calibri" w:hAnsi="Calibri"/>
          <w:sz w:val="26"/>
          <w:szCs w:val="26"/>
        </w:rPr>
        <w:t xml:space="preserve"> et congé d’adoption</w:t>
      </w:r>
      <w:r w:rsidR="00182FDC" w:rsidRPr="00DC4AF2">
        <w:rPr>
          <w:rFonts w:ascii="Calibri" w:hAnsi="Calibri"/>
          <w:sz w:val="26"/>
          <w:szCs w:val="26"/>
        </w:rPr>
        <w:t>)</w:t>
      </w:r>
    </w:p>
    <w:p w:rsidR="00182FDC" w:rsidRPr="00DC4AF2" w:rsidRDefault="00182FDC" w:rsidP="00F20586">
      <w:pPr>
        <w:numPr>
          <w:ilvl w:val="2"/>
          <w:numId w:val="2"/>
        </w:numPr>
        <w:ind w:right="-851"/>
        <w:jc w:val="both"/>
        <w:rPr>
          <w:rFonts w:ascii="Calibri" w:hAnsi="Calibri"/>
          <w:b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>Remise en place de la subrogation</w:t>
      </w:r>
    </w:p>
    <w:p w:rsidR="00182FDC" w:rsidRPr="00DC4AF2" w:rsidRDefault="00182FDC" w:rsidP="00F200D3">
      <w:pPr>
        <w:numPr>
          <w:ilvl w:val="2"/>
          <w:numId w:val="9"/>
        </w:numPr>
        <w:ind w:right="-851"/>
        <w:jc w:val="both"/>
        <w:rPr>
          <w:rFonts w:ascii="Calibri" w:hAnsi="Calibri"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 xml:space="preserve">Maintien de la prime d’équipe si changement d’horaire moins favorable financièrement </w:t>
      </w:r>
      <w:r w:rsidRPr="00DC4AF2">
        <w:rPr>
          <w:rFonts w:ascii="Calibri" w:hAnsi="Calibri"/>
          <w:sz w:val="26"/>
          <w:szCs w:val="26"/>
        </w:rPr>
        <w:t>(ancienneté minimale sur l’horaire : 10 ans)</w:t>
      </w:r>
    </w:p>
    <w:p w:rsidR="00182FDC" w:rsidRPr="00DC4AF2" w:rsidRDefault="00182FDC" w:rsidP="003C1981">
      <w:pPr>
        <w:numPr>
          <w:ilvl w:val="2"/>
          <w:numId w:val="9"/>
        </w:numPr>
        <w:ind w:right="-851"/>
        <w:jc w:val="both"/>
        <w:rPr>
          <w:rFonts w:ascii="Calibri" w:hAnsi="Calibri"/>
          <w:b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>Revalorisation et harmonisation des primes de panier</w:t>
      </w:r>
    </w:p>
    <w:p w:rsidR="003C13B1" w:rsidRPr="00DC4AF2" w:rsidRDefault="003C13B1" w:rsidP="003C1981">
      <w:pPr>
        <w:numPr>
          <w:ilvl w:val="2"/>
          <w:numId w:val="9"/>
        </w:numPr>
        <w:ind w:right="-851"/>
        <w:jc w:val="both"/>
        <w:rPr>
          <w:rFonts w:ascii="Calibri" w:hAnsi="Calibri"/>
          <w:b/>
          <w:sz w:val="26"/>
          <w:szCs w:val="26"/>
        </w:rPr>
      </w:pPr>
      <w:r w:rsidRPr="00DC4AF2">
        <w:rPr>
          <w:rFonts w:ascii="Calibri" w:hAnsi="Calibri"/>
          <w:b/>
          <w:sz w:val="26"/>
          <w:szCs w:val="26"/>
        </w:rPr>
        <w:t>Négociation de l’accord de participation</w:t>
      </w:r>
    </w:p>
    <w:sectPr w:rsidR="003C13B1" w:rsidRPr="00DC4AF2" w:rsidSect="00DC4AF2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2137"/>
    <w:multiLevelType w:val="hybridMultilevel"/>
    <w:tmpl w:val="D2467B1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ED7D97"/>
    <w:multiLevelType w:val="multilevel"/>
    <w:tmpl w:val="D24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103B8A"/>
    <w:multiLevelType w:val="multilevel"/>
    <w:tmpl w:val="FD16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3622116"/>
    <w:multiLevelType w:val="hybridMultilevel"/>
    <w:tmpl w:val="0EC4F3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D7B4D45"/>
    <w:multiLevelType w:val="hybridMultilevel"/>
    <w:tmpl w:val="3FC4AC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883AFC"/>
    <w:multiLevelType w:val="hybridMultilevel"/>
    <w:tmpl w:val="A3A211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D951F04"/>
    <w:multiLevelType w:val="multilevel"/>
    <w:tmpl w:val="A3A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BB2E42"/>
    <w:multiLevelType w:val="hybridMultilevel"/>
    <w:tmpl w:val="8850EF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409EC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16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1D0222"/>
    <w:multiLevelType w:val="hybridMultilevel"/>
    <w:tmpl w:val="99802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409EC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16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67F40"/>
    <w:rsid w:val="00010CEF"/>
    <w:rsid w:val="000233BB"/>
    <w:rsid w:val="0004585A"/>
    <w:rsid w:val="00081422"/>
    <w:rsid w:val="000B0623"/>
    <w:rsid w:val="000C7AF1"/>
    <w:rsid w:val="000E189A"/>
    <w:rsid w:val="000E7681"/>
    <w:rsid w:val="001030A2"/>
    <w:rsid w:val="00126569"/>
    <w:rsid w:val="001426DE"/>
    <w:rsid w:val="001645C0"/>
    <w:rsid w:val="00171162"/>
    <w:rsid w:val="00182FDC"/>
    <w:rsid w:val="001976F0"/>
    <w:rsid w:val="001B6409"/>
    <w:rsid w:val="001D25E4"/>
    <w:rsid w:val="001D66C5"/>
    <w:rsid w:val="001F3BCF"/>
    <w:rsid w:val="002C60A0"/>
    <w:rsid w:val="002F33D4"/>
    <w:rsid w:val="002F5F4C"/>
    <w:rsid w:val="003605A6"/>
    <w:rsid w:val="00363DF0"/>
    <w:rsid w:val="00377B2C"/>
    <w:rsid w:val="003A285D"/>
    <w:rsid w:val="003A43A8"/>
    <w:rsid w:val="003B76EE"/>
    <w:rsid w:val="003C13B1"/>
    <w:rsid w:val="003C1981"/>
    <w:rsid w:val="003C2961"/>
    <w:rsid w:val="003C3877"/>
    <w:rsid w:val="003E6E72"/>
    <w:rsid w:val="00402FBA"/>
    <w:rsid w:val="00406CC9"/>
    <w:rsid w:val="004211E7"/>
    <w:rsid w:val="00462971"/>
    <w:rsid w:val="00481231"/>
    <w:rsid w:val="004818B7"/>
    <w:rsid w:val="004A0F30"/>
    <w:rsid w:val="004C360C"/>
    <w:rsid w:val="004D28E1"/>
    <w:rsid w:val="004E31A6"/>
    <w:rsid w:val="00512770"/>
    <w:rsid w:val="005244CC"/>
    <w:rsid w:val="00537DA3"/>
    <w:rsid w:val="00591D51"/>
    <w:rsid w:val="005B0CF8"/>
    <w:rsid w:val="005C64C1"/>
    <w:rsid w:val="005C7F95"/>
    <w:rsid w:val="005E0BCB"/>
    <w:rsid w:val="006126F4"/>
    <w:rsid w:val="0062065C"/>
    <w:rsid w:val="00640741"/>
    <w:rsid w:val="00641F1E"/>
    <w:rsid w:val="006575FC"/>
    <w:rsid w:val="006B00F7"/>
    <w:rsid w:val="006C51CC"/>
    <w:rsid w:val="006E5856"/>
    <w:rsid w:val="00710A22"/>
    <w:rsid w:val="007134F2"/>
    <w:rsid w:val="007336A2"/>
    <w:rsid w:val="00735DC1"/>
    <w:rsid w:val="007371E0"/>
    <w:rsid w:val="0075100B"/>
    <w:rsid w:val="007579C2"/>
    <w:rsid w:val="007E3BE7"/>
    <w:rsid w:val="007F2A08"/>
    <w:rsid w:val="00846D0B"/>
    <w:rsid w:val="00853C59"/>
    <w:rsid w:val="00856B6C"/>
    <w:rsid w:val="00876FDD"/>
    <w:rsid w:val="00896DA5"/>
    <w:rsid w:val="008A7D04"/>
    <w:rsid w:val="008B34A9"/>
    <w:rsid w:val="008E7292"/>
    <w:rsid w:val="009016FD"/>
    <w:rsid w:val="00905A1D"/>
    <w:rsid w:val="00911AD8"/>
    <w:rsid w:val="00920841"/>
    <w:rsid w:val="0093038F"/>
    <w:rsid w:val="009478BB"/>
    <w:rsid w:val="00973548"/>
    <w:rsid w:val="00980297"/>
    <w:rsid w:val="009B6EC3"/>
    <w:rsid w:val="009D1173"/>
    <w:rsid w:val="009F42EC"/>
    <w:rsid w:val="009F636F"/>
    <w:rsid w:val="00A42AF6"/>
    <w:rsid w:val="00A56BB7"/>
    <w:rsid w:val="00A6234B"/>
    <w:rsid w:val="00A62B8F"/>
    <w:rsid w:val="00A678AB"/>
    <w:rsid w:val="00AA5487"/>
    <w:rsid w:val="00AC4465"/>
    <w:rsid w:val="00AF189F"/>
    <w:rsid w:val="00B00312"/>
    <w:rsid w:val="00B02DF3"/>
    <w:rsid w:val="00B15A97"/>
    <w:rsid w:val="00B50585"/>
    <w:rsid w:val="00B73BFB"/>
    <w:rsid w:val="00BB0552"/>
    <w:rsid w:val="00BB4D4E"/>
    <w:rsid w:val="00BD5546"/>
    <w:rsid w:val="00BE28C3"/>
    <w:rsid w:val="00C23E26"/>
    <w:rsid w:val="00C26197"/>
    <w:rsid w:val="00C72382"/>
    <w:rsid w:val="00C95C7A"/>
    <w:rsid w:val="00CA2BBB"/>
    <w:rsid w:val="00CB5BB0"/>
    <w:rsid w:val="00CD6944"/>
    <w:rsid w:val="00D00140"/>
    <w:rsid w:val="00D13F70"/>
    <w:rsid w:val="00D1527A"/>
    <w:rsid w:val="00D309C1"/>
    <w:rsid w:val="00D4320A"/>
    <w:rsid w:val="00D72F46"/>
    <w:rsid w:val="00D73972"/>
    <w:rsid w:val="00D80C16"/>
    <w:rsid w:val="00D83CA3"/>
    <w:rsid w:val="00D95987"/>
    <w:rsid w:val="00DB5BED"/>
    <w:rsid w:val="00DC4AF2"/>
    <w:rsid w:val="00DC65FF"/>
    <w:rsid w:val="00DD0153"/>
    <w:rsid w:val="00DF77D2"/>
    <w:rsid w:val="00E24470"/>
    <w:rsid w:val="00E26422"/>
    <w:rsid w:val="00E271F1"/>
    <w:rsid w:val="00E5298A"/>
    <w:rsid w:val="00E56BAF"/>
    <w:rsid w:val="00E67F40"/>
    <w:rsid w:val="00EA7CBD"/>
    <w:rsid w:val="00EE2912"/>
    <w:rsid w:val="00F101E6"/>
    <w:rsid w:val="00F200D3"/>
    <w:rsid w:val="00F20586"/>
    <w:rsid w:val="00F571F9"/>
    <w:rsid w:val="00F9776A"/>
    <w:rsid w:val="00FA5BB8"/>
    <w:rsid w:val="00FB29F8"/>
    <w:rsid w:val="00FC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NAO 2011</vt:lpstr>
    </vt:vector>
  </TitlesOfParts>
  <Company>Soitec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 2011</dc:title>
  <dc:creator>Soitec</dc:creator>
  <cp:lastModifiedBy>ela</cp:lastModifiedBy>
  <cp:revision>2</cp:revision>
  <cp:lastPrinted>2013-06-24T11:22:00Z</cp:lastPrinted>
  <dcterms:created xsi:type="dcterms:W3CDTF">2016-05-30T19:24:00Z</dcterms:created>
  <dcterms:modified xsi:type="dcterms:W3CDTF">2016-05-30T19:24:00Z</dcterms:modified>
</cp:coreProperties>
</file>