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BF" w:rsidRPr="00B17782" w:rsidRDefault="004B29BF" w:rsidP="00C5690C">
      <w:pPr>
        <w:jc w:val="center"/>
        <w:rPr>
          <w:b/>
          <w:sz w:val="4"/>
          <w:szCs w:val="4"/>
        </w:rPr>
      </w:pPr>
    </w:p>
    <w:p w:rsidR="004B29BF" w:rsidRDefault="009B5CD6" w:rsidP="00C5690C">
      <w:pPr>
        <w:jc w:val="center"/>
        <w:rPr>
          <w:b/>
          <w:sz w:val="40"/>
        </w:rPr>
      </w:pPr>
      <w:r>
        <w:rPr>
          <w:b/>
          <w:sz w:val="40"/>
        </w:rPr>
      </w:r>
      <w:r>
        <w:rPr>
          <w:b/>
          <w:sz w:val="40"/>
        </w:rPr>
        <w:pict>
          <v:group id="_x0000_s1028" style="width:421.2pt;height:100.45pt;mso-position-horizontal-relative:char;mso-position-vertical-relative:line" coordorigin="1433,658" coordsize="8424,2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style="position:absolute;left:5730;top:701;width:1547;height:1926;visibility:visible">
              <v:imagedata r:id="rId5" o:title=""/>
            </v:shape>
            <v:shape id="Image 1" o:spid="_x0000_s1030" type="#_x0000_t75" style="position:absolute;left:8079;top:701;width:1778;height:1775;visibility:visible">
              <v:imagedata r:id="rId6" o:title="Cfdt_O_RVB"/>
            </v:shape>
            <v:shape id="Image 3" o:spid="_x0000_s1031" type="#_x0000_t75" alt="plussyndical" style="position:absolute;left:3281;top:2299;width:1963;height:368;visibility:visible">
              <v:imagedata r:id="rId7" o:title="plussyndical"/>
            </v:shape>
            <v:shape id="Image 2" o:spid="_x0000_s1032" type="#_x0000_t75" alt="cgc1" style="position:absolute;left:3461;top:701;width:1457;height:1459;visibility:visible" stroked="t">
              <v:imagedata r:id="rId8" o:title="cgc1"/>
            </v:shape>
            <v:shape id="Image 4" o:spid="_x0000_s1033" type="#_x0000_t75" style="position:absolute;left:1433;top:658;width:1377;height:2009;visibility:visible;mso-wrap-distance-left:9.05pt;mso-wrap-distance-right:9.05pt" filled="t">
              <v:imagedata r:id="rId9" o:title=""/>
            </v:shape>
            <w10:wrap type="none"/>
            <w10:anchorlock/>
          </v:group>
        </w:pict>
      </w:r>
    </w:p>
    <w:p w:rsidR="00BE1FDF" w:rsidRDefault="00BE1FDF" w:rsidP="00182BD8">
      <w:pPr>
        <w:ind w:left="709" w:right="685"/>
        <w:jc w:val="center"/>
        <w:rPr>
          <w:b/>
          <w:sz w:val="40"/>
        </w:rPr>
      </w:pPr>
      <w:r w:rsidRPr="00BE1FDF">
        <w:rPr>
          <w:b/>
          <w:sz w:val="40"/>
        </w:rPr>
        <w:t xml:space="preserve">« Mieux que s'entourer d'alliés, </w:t>
      </w:r>
      <w:r w:rsidR="00BD5735">
        <w:rPr>
          <w:b/>
          <w:sz w:val="40"/>
        </w:rPr>
        <w:t xml:space="preserve">avoir toute </w:t>
      </w:r>
      <w:r>
        <w:rPr>
          <w:b/>
          <w:sz w:val="40"/>
        </w:rPr>
        <w:t>l</w:t>
      </w:r>
      <w:r w:rsidRPr="00BE1FDF">
        <w:rPr>
          <w:b/>
          <w:sz w:val="40"/>
        </w:rPr>
        <w:t>'entreprise pour alliée »</w:t>
      </w:r>
    </w:p>
    <w:p w:rsidR="00C5690C" w:rsidRPr="00392122" w:rsidRDefault="00BE1FDF" w:rsidP="00BC08F6">
      <w:pPr>
        <w:jc w:val="center"/>
        <w:rPr>
          <w:szCs w:val="28"/>
        </w:rPr>
      </w:pPr>
      <w:r w:rsidRPr="00392122">
        <w:rPr>
          <w:b/>
          <w:sz w:val="32"/>
        </w:rPr>
        <w:t>PAUL BOUDRE - Les Echos, le 21</w:t>
      </w:r>
      <w:r w:rsidR="00447E87" w:rsidRPr="00392122">
        <w:rPr>
          <w:b/>
          <w:sz w:val="32"/>
        </w:rPr>
        <w:t xml:space="preserve"> novembre </w:t>
      </w:r>
      <w:r w:rsidRPr="00392122">
        <w:rPr>
          <w:b/>
          <w:sz w:val="32"/>
        </w:rPr>
        <w:t>2016</w:t>
      </w:r>
    </w:p>
    <w:p w:rsidR="00037EDA" w:rsidRPr="00BC2CA7" w:rsidRDefault="00037EDA" w:rsidP="0088715D">
      <w:pPr>
        <w:ind w:firstLine="708"/>
        <w:jc w:val="both"/>
        <w:rPr>
          <w:b/>
          <w:sz w:val="24"/>
          <w:szCs w:val="24"/>
        </w:rPr>
      </w:pPr>
      <w:r w:rsidRPr="00BC2CA7">
        <w:rPr>
          <w:b/>
          <w:sz w:val="24"/>
          <w:szCs w:val="24"/>
        </w:rPr>
        <w:t xml:space="preserve">Vous avez été </w:t>
      </w:r>
      <w:r w:rsidR="0088715D" w:rsidRPr="00BC2CA7">
        <w:rPr>
          <w:b/>
          <w:sz w:val="24"/>
          <w:szCs w:val="24"/>
        </w:rPr>
        <w:t xml:space="preserve">près de </w:t>
      </w:r>
      <w:r w:rsidR="00FE23CE" w:rsidRPr="00BC2CA7">
        <w:rPr>
          <w:b/>
          <w:sz w:val="24"/>
          <w:szCs w:val="24"/>
        </w:rPr>
        <w:t>400 salariés à répondre à la consultation de l’intersyndicale relative au plan de distribution d’actions gratuite</w:t>
      </w:r>
      <w:r w:rsidR="004D6240">
        <w:rPr>
          <w:b/>
          <w:sz w:val="24"/>
          <w:szCs w:val="24"/>
        </w:rPr>
        <w:t>s</w:t>
      </w:r>
      <w:r w:rsidR="00FE23CE" w:rsidRPr="00BC2CA7">
        <w:rPr>
          <w:b/>
          <w:sz w:val="24"/>
          <w:szCs w:val="24"/>
        </w:rPr>
        <w:t xml:space="preserve"> (MIP). </w:t>
      </w:r>
    </w:p>
    <w:tbl>
      <w:tblPr>
        <w:tblW w:w="6660" w:type="dxa"/>
        <w:tblInd w:w="2197" w:type="dxa"/>
        <w:tblCellMar>
          <w:left w:w="70" w:type="dxa"/>
          <w:right w:w="70" w:type="dxa"/>
        </w:tblCellMar>
        <w:tblLook w:val="04A0"/>
      </w:tblPr>
      <w:tblGrid>
        <w:gridCol w:w="1665"/>
        <w:gridCol w:w="1665"/>
        <w:gridCol w:w="1665"/>
        <w:gridCol w:w="1665"/>
      </w:tblGrid>
      <w:tr w:rsidR="00BE1FDF" w:rsidRPr="00BE1FDF" w:rsidTr="00BD5735">
        <w:trPr>
          <w:trHeight w:val="344"/>
        </w:trPr>
        <w:tc>
          <w:tcPr>
            <w:tcW w:w="1665" w:type="dxa"/>
            <w:tcBorders>
              <w:top w:val="single" w:sz="4" w:space="0" w:color="4F81BD"/>
              <w:left w:val="single" w:sz="4" w:space="0" w:color="4F81BD"/>
              <w:bottom w:val="nil"/>
              <w:right w:val="nil"/>
            </w:tcBorders>
            <w:shd w:val="clear" w:color="4F81BD" w:fill="4F81BD"/>
            <w:noWrap/>
            <w:vAlign w:val="bottom"/>
            <w:hideMark/>
          </w:tcPr>
          <w:p w:rsidR="00BE1FDF" w:rsidRPr="00BE1FDF" w:rsidRDefault="00BE1FDF" w:rsidP="00447E87">
            <w:pPr>
              <w:spacing w:after="0" w:line="240" w:lineRule="auto"/>
              <w:jc w:val="center"/>
              <w:rPr>
                <w:rFonts w:eastAsia="Times New Roman" w:cs="Calibri"/>
                <w:b/>
                <w:bCs/>
                <w:color w:val="FFFFFF"/>
                <w:lang w:eastAsia="fr-FR"/>
              </w:rPr>
            </w:pPr>
            <w:r w:rsidRPr="00BE1FDF">
              <w:rPr>
                <w:rFonts w:eastAsia="Times New Roman" w:cs="Calibri"/>
                <w:b/>
                <w:bCs/>
                <w:color w:val="FFFFFF"/>
                <w:lang w:eastAsia="fr-FR"/>
              </w:rPr>
              <w:t>Votants</w:t>
            </w:r>
          </w:p>
        </w:tc>
        <w:tc>
          <w:tcPr>
            <w:tcW w:w="1665" w:type="dxa"/>
            <w:tcBorders>
              <w:top w:val="single" w:sz="4" w:space="0" w:color="4F81BD"/>
              <w:left w:val="nil"/>
              <w:bottom w:val="nil"/>
              <w:right w:val="nil"/>
            </w:tcBorders>
            <w:shd w:val="clear" w:color="4F81BD" w:fill="4F81BD"/>
            <w:noWrap/>
            <w:vAlign w:val="bottom"/>
            <w:hideMark/>
          </w:tcPr>
          <w:p w:rsidR="00BE1FDF" w:rsidRPr="00BE1FDF" w:rsidRDefault="00BE1FDF" w:rsidP="00447E87">
            <w:pPr>
              <w:spacing w:after="0" w:line="240" w:lineRule="auto"/>
              <w:jc w:val="center"/>
              <w:rPr>
                <w:rFonts w:eastAsia="Times New Roman" w:cs="Calibri"/>
                <w:b/>
                <w:bCs/>
                <w:i/>
                <w:iCs/>
                <w:color w:val="FFFFFF"/>
                <w:lang w:eastAsia="fr-FR"/>
              </w:rPr>
            </w:pPr>
            <w:r w:rsidRPr="00BE1FDF">
              <w:rPr>
                <w:rFonts w:eastAsia="Times New Roman" w:cs="Calibri"/>
                <w:b/>
                <w:bCs/>
                <w:i/>
                <w:iCs/>
                <w:color w:val="FFFFFF"/>
                <w:lang w:eastAsia="fr-FR"/>
              </w:rPr>
              <w:t>OPE</w:t>
            </w:r>
          </w:p>
        </w:tc>
        <w:tc>
          <w:tcPr>
            <w:tcW w:w="1665" w:type="dxa"/>
            <w:tcBorders>
              <w:top w:val="single" w:sz="4" w:space="0" w:color="4F81BD"/>
              <w:left w:val="nil"/>
              <w:bottom w:val="nil"/>
              <w:right w:val="nil"/>
            </w:tcBorders>
            <w:shd w:val="clear" w:color="4F81BD" w:fill="4F81BD"/>
            <w:noWrap/>
            <w:vAlign w:val="bottom"/>
            <w:hideMark/>
          </w:tcPr>
          <w:p w:rsidR="00BE1FDF" w:rsidRPr="00BE1FDF" w:rsidRDefault="00BE1FDF" w:rsidP="00447E87">
            <w:pPr>
              <w:spacing w:after="0" w:line="240" w:lineRule="auto"/>
              <w:jc w:val="center"/>
              <w:rPr>
                <w:rFonts w:eastAsia="Times New Roman" w:cs="Calibri"/>
                <w:b/>
                <w:bCs/>
                <w:i/>
                <w:iCs/>
                <w:color w:val="FFFFFF"/>
                <w:lang w:eastAsia="fr-FR"/>
              </w:rPr>
            </w:pPr>
            <w:r w:rsidRPr="00BE1FDF">
              <w:rPr>
                <w:rFonts w:eastAsia="Times New Roman" w:cs="Calibri"/>
                <w:b/>
                <w:bCs/>
                <w:i/>
                <w:iCs/>
                <w:color w:val="FFFFFF"/>
                <w:lang w:eastAsia="fr-FR"/>
              </w:rPr>
              <w:t>ETAM</w:t>
            </w:r>
          </w:p>
        </w:tc>
        <w:tc>
          <w:tcPr>
            <w:tcW w:w="1665" w:type="dxa"/>
            <w:tcBorders>
              <w:top w:val="single" w:sz="4" w:space="0" w:color="4F81BD"/>
              <w:left w:val="nil"/>
              <w:bottom w:val="nil"/>
              <w:right w:val="single" w:sz="4" w:space="0" w:color="4F81BD"/>
            </w:tcBorders>
            <w:shd w:val="clear" w:color="4F81BD" w:fill="4F81BD"/>
            <w:noWrap/>
            <w:vAlign w:val="bottom"/>
            <w:hideMark/>
          </w:tcPr>
          <w:p w:rsidR="00BE1FDF" w:rsidRPr="00BE1FDF" w:rsidRDefault="00BE1FDF" w:rsidP="00447E87">
            <w:pPr>
              <w:spacing w:after="0" w:line="240" w:lineRule="auto"/>
              <w:jc w:val="center"/>
              <w:rPr>
                <w:rFonts w:eastAsia="Times New Roman" w:cs="Calibri"/>
                <w:b/>
                <w:bCs/>
                <w:i/>
                <w:iCs/>
                <w:color w:val="FFFFFF"/>
                <w:lang w:eastAsia="fr-FR"/>
              </w:rPr>
            </w:pPr>
            <w:r w:rsidRPr="00BE1FDF">
              <w:rPr>
                <w:rFonts w:eastAsia="Times New Roman" w:cs="Calibri"/>
                <w:b/>
                <w:bCs/>
                <w:i/>
                <w:iCs/>
                <w:color w:val="FFFFFF"/>
                <w:lang w:eastAsia="fr-FR"/>
              </w:rPr>
              <w:t>CADRE</w:t>
            </w:r>
          </w:p>
        </w:tc>
      </w:tr>
      <w:tr w:rsidR="00BE1FDF" w:rsidRPr="00BE1FDF" w:rsidTr="00BD5735">
        <w:trPr>
          <w:trHeight w:val="344"/>
        </w:trPr>
        <w:tc>
          <w:tcPr>
            <w:tcW w:w="1665"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BE1FDF" w:rsidRPr="00BE1FDF" w:rsidRDefault="00BE1FDF" w:rsidP="00447E87">
            <w:pPr>
              <w:spacing w:after="0" w:line="240" w:lineRule="auto"/>
              <w:jc w:val="center"/>
              <w:rPr>
                <w:rFonts w:eastAsia="Times New Roman" w:cs="Calibri"/>
                <w:color w:val="000000"/>
                <w:lang w:eastAsia="fr-FR"/>
              </w:rPr>
            </w:pPr>
            <w:r w:rsidRPr="00BE1FDF">
              <w:rPr>
                <w:rFonts w:eastAsia="Times New Roman" w:cs="Calibri"/>
                <w:color w:val="000000"/>
                <w:lang w:eastAsia="fr-FR"/>
              </w:rPr>
              <w:t>390</w:t>
            </w:r>
          </w:p>
        </w:tc>
        <w:tc>
          <w:tcPr>
            <w:tcW w:w="1665" w:type="dxa"/>
            <w:tcBorders>
              <w:top w:val="single" w:sz="4" w:space="0" w:color="4F81BD"/>
              <w:left w:val="nil"/>
              <w:bottom w:val="single" w:sz="4" w:space="0" w:color="4F81BD"/>
              <w:right w:val="nil"/>
            </w:tcBorders>
            <w:shd w:val="clear" w:color="auto" w:fill="auto"/>
            <w:noWrap/>
            <w:vAlign w:val="bottom"/>
            <w:hideMark/>
          </w:tcPr>
          <w:p w:rsidR="00BE1FDF" w:rsidRPr="00BE1FDF" w:rsidRDefault="00BE1FDF" w:rsidP="00447E87">
            <w:pPr>
              <w:spacing w:after="0" w:line="240" w:lineRule="auto"/>
              <w:jc w:val="center"/>
              <w:rPr>
                <w:rFonts w:eastAsia="Times New Roman" w:cs="Calibri"/>
                <w:color w:val="000000"/>
                <w:lang w:eastAsia="fr-FR"/>
              </w:rPr>
            </w:pPr>
            <w:r w:rsidRPr="00BE1FDF">
              <w:rPr>
                <w:rFonts w:eastAsia="Times New Roman" w:cs="Calibri"/>
                <w:color w:val="000000"/>
                <w:lang w:eastAsia="fr-FR"/>
              </w:rPr>
              <w:t>25%</w:t>
            </w:r>
          </w:p>
        </w:tc>
        <w:tc>
          <w:tcPr>
            <w:tcW w:w="1665" w:type="dxa"/>
            <w:tcBorders>
              <w:top w:val="single" w:sz="4" w:space="0" w:color="4F81BD"/>
              <w:left w:val="nil"/>
              <w:bottom w:val="single" w:sz="4" w:space="0" w:color="4F81BD"/>
              <w:right w:val="nil"/>
            </w:tcBorders>
            <w:shd w:val="clear" w:color="auto" w:fill="auto"/>
            <w:noWrap/>
            <w:vAlign w:val="bottom"/>
            <w:hideMark/>
          </w:tcPr>
          <w:p w:rsidR="00BE1FDF" w:rsidRPr="00BE1FDF" w:rsidRDefault="00BE1FDF" w:rsidP="00447E87">
            <w:pPr>
              <w:spacing w:after="0" w:line="240" w:lineRule="auto"/>
              <w:jc w:val="center"/>
              <w:rPr>
                <w:rFonts w:eastAsia="Times New Roman" w:cs="Calibri"/>
                <w:color w:val="000000"/>
                <w:lang w:eastAsia="fr-FR"/>
              </w:rPr>
            </w:pPr>
            <w:r w:rsidRPr="00BE1FDF">
              <w:rPr>
                <w:rFonts w:eastAsia="Times New Roman" w:cs="Calibri"/>
                <w:color w:val="000000"/>
                <w:lang w:eastAsia="fr-FR"/>
              </w:rPr>
              <w:t>36%</w:t>
            </w:r>
          </w:p>
        </w:tc>
        <w:tc>
          <w:tcPr>
            <w:tcW w:w="1665" w:type="dxa"/>
            <w:tcBorders>
              <w:top w:val="single" w:sz="4" w:space="0" w:color="4F81BD"/>
              <w:left w:val="nil"/>
              <w:bottom w:val="single" w:sz="4" w:space="0" w:color="4F81BD"/>
              <w:right w:val="single" w:sz="4" w:space="0" w:color="4F81BD"/>
            </w:tcBorders>
            <w:shd w:val="clear" w:color="auto" w:fill="auto"/>
            <w:noWrap/>
            <w:vAlign w:val="bottom"/>
            <w:hideMark/>
          </w:tcPr>
          <w:p w:rsidR="00BE1FDF" w:rsidRPr="00BE1FDF" w:rsidRDefault="00BE1FDF" w:rsidP="00447E87">
            <w:pPr>
              <w:spacing w:after="0" w:line="240" w:lineRule="auto"/>
              <w:jc w:val="center"/>
              <w:rPr>
                <w:rFonts w:eastAsia="Times New Roman" w:cs="Calibri"/>
                <w:color w:val="000000"/>
                <w:lang w:eastAsia="fr-FR"/>
              </w:rPr>
            </w:pPr>
            <w:r w:rsidRPr="00BE1FDF">
              <w:rPr>
                <w:rFonts w:eastAsia="Times New Roman" w:cs="Calibri"/>
                <w:color w:val="000000"/>
                <w:lang w:eastAsia="fr-FR"/>
              </w:rPr>
              <w:t>39%</w:t>
            </w:r>
          </w:p>
        </w:tc>
      </w:tr>
    </w:tbl>
    <w:p w:rsidR="00392122" w:rsidRDefault="0088715D" w:rsidP="0088715D">
      <w:pPr>
        <w:jc w:val="both"/>
        <w:rPr>
          <w:sz w:val="2"/>
        </w:rPr>
      </w:pPr>
      <w:r>
        <w:rPr>
          <w:sz w:val="2"/>
        </w:rPr>
        <w:t>71</w:t>
      </w:r>
    </w:p>
    <w:p w:rsidR="0088715D" w:rsidRPr="00BD5735" w:rsidRDefault="0088715D" w:rsidP="00BC2CA7">
      <w:pPr>
        <w:ind w:firstLine="708"/>
        <w:jc w:val="center"/>
        <w:rPr>
          <w:b/>
          <w:color w:val="FF0000"/>
          <w:sz w:val="28"/>
          <w:szCs w:val="28"/>
        </w:rPr>
      </w:pPr>
      <w:r w:rsidRPr="00BD5735">
        <w:rPr>
          <w:b/>
          <w:color w:val="FF0000"/>
          <w:sz w:val="28"/>
          <w:szCs w:val="28"/>
          <w:highlight w:val="yellow"/>
        </w:rPr>
        <w:t>71% d’entr</w:t>
      </w:r>
      <w:r w:rsidR="0089398C" w:rsidRPr="00BD5735">
        <w:rPr>
          <w:b/>
          <w:color w:val="FF0000"/>
          <w:sz w:val="28"/>
          <w:szCs w:val="28"/>
          <w:highlight w:val="yellow"/>
        </w:rPr>
        <w:t>e vous ont opté pour le choix 2</w:t>
      </w:r>
    </w:p>
    <w:p w:rsidR="00B17782" w:rsidRDefault="00B17782" w:rsidP="00B17782">
      <w:pPr>
        <w:ind w:firstLine="708"/>
        <w:jc w:val="center"/>
        <w:rPr>
          <w:szCs w:val="24"/>
        </w:rPr>
      </w:pPr>
      <w:r>
        <w:rPr>
          <w:szCs w:val="24"/>
        </w:rPr>
        <w:t>Pour rappel (extrait du tract précédent)</w:t>
      </w:r>
    </w:p>
    <w:p w:rsidR="00B17782" w:rsidRDefault="00B17782" w:rsidP="00AC4E94">
      <w:pPr>
        <w:ind w:firstLine="708"/>
        <w:jc w:val="both"/>
        <w:rPr>
          <w:szCs w:val="24"/>
        </w:rPr>
      </w:pPr>
      <w:r>
        <w:rPr>
          <w:szCs w:val="24"/>
        </w:rPr>
        <w:t>« </w:t>
      </w:r>
      <w:r w:rsidRPr="00B17782">
        <w:rPr>
          <w:b/>
          <w:i/>
          <w:szCs w:val="24"/>
        </w:rPr>
        <w:t xml:space="preserve">Le second choix </w:t>
      </w:r>
      <w:r w:rsidRPr="00B17782">
        <w:rPr>
          <w:i/>
          <w:szCs w:val="24"/>
        </w:rPr>
        <w:t xml:space="preserve">est celui que nous avons suivi jusqu’à présent, c'est-à-dire de </w:t>
      </w:r>
      <w:r w:rsidRPr="00B17782">
        <w:rPr>
          <w:b/>
          <w:i/>
          <w:szCs w:val="24"/>
        </w:rPr>
        <w:t>refuser toute solution actant le MIP actuel</w:t>
      </w:r>
      <w:r w:rsidRPr="00B17782">
        <w:rPr>
          <w:i/>
          <w:szCs w:val="24"/>
        </w:rPr>
        <w:t xml:space="preserve"> (4% du capital pour 34 salariés, soit une enveloppe globale de plus de 60M€ et au minimum 250k€ par bénéficiaire au cours actuel de l’action). Nous pensons que si le MIP est maintenu, la rupture avec les 34 sera si profonde que la perte d’engagement collectif va nous mener droit dans le mur. D’autre part, les montants sont tels qu’ils constituent de véritables « parachutes dorés » ce qui pose un problème pour la pérennité de l’entreprise après ce plan. Ainsi une part significative du plan actuel doit être partagée entre tous les salariés. C’est la seule solution. Par l’exceptionnelle mobilisation des salariés, nous avons établi un rapport de force inédit. Nous n’avons jamais été aussi proche de pouvoir faire changer les choses. Mais personne ne peut dire aujourd’hui jusqu’où la direction peut s’obstiner. Il y a un risque de dérive vers un conflit dur, avec des conséquences néfastes pour l’entreprise, et la possibilité de ne rien obtenir du tout au final.</w:t>
      </w:r>
      <w:r>
        <w:rPr>
          <w:i/>
          <w:szCs w:val="24"/>
        </w:rPr>
        <w:t> »</w:t>
      </w:r>
    </w:p>
    <w:p w:rsidR="00AC4E94" w:rsidRDefault="0088715D" w:rsidP="00AC4E94">
      <w:pPr>
        <w:ind w:firstLine="708"/>
        <w:jc w:val="both"/>
        <w:rPr>
          <w:szCs w:val="24"/>
        </w:rPr>
      </w:pPr>
      <w:r w:rsidRPr="00392122">
        <w:rPr>
          <w:szCs w:val="24"/>
        </w:rPr>
        <w:t xml:space="preserve">Par ailleurs, les </w:t>
      </w:r>
      <w:proofErr w:type="spellStart"/>
      <w:r w:rsidRPr="00392122">
        <w:rPr>
          <w:szCs w:val="24"/>
        </w:rPr>
        <w:t>verb</w:t>
      </w:r>
      <w:r w:rsidR="00BD5735">
        <w:rPr>
          <w:szCs w:val="24"/>
        </w:rPr>
        <w:t>atims</w:t>
      </w:r>
      <w:proofErr w:type="spellEnd"/>
      <w:r w:rsidR="00BD5735">
        <w:rPr>
          <w:szCs w:val="24"/>
        </w:rPr>
        <w:t xml:space="preserve"> des personnes ayant voté</w:t>
      </w:r>
      <w:r w:rsidRPr="00392122">
        <w:rPr>
          <w:szCs w:val="24"/>
        </w:rPr>
        <w:t xml:space="preserve"> pour le choix 1 ne montrent clairement </w:t>
      </w:r>
      <w:r w:rsidRPr="00395F20">
        <w:rPr>
          <w:b/>
          <w:szCs w:val="24"/>
        </w:rPr>
        <w:t>aucune adhésion au discours de la direction</w:t>
      </w:r>
      <w:r w:rsidRPr="00392122">
        <w:rPr>
          <w:szCs w:val="24"/>
        </w:rPr>
        <w:t xml:space="preserve"> mais avant tout une volonté d’éviter un conflit nuisible à SOITEC.</w:t>
      </w:r>
      <w:r w:rsidR="00AC4E94" w:rsidRPr="00AC4E94">
        <w:rPr>
          <w:szCs w:val="24"/>
        </w:rPr>
        <w:t xml:space="preserve"> </w:t>
      </w:r>
    </w:p>
    <w:p w:rsidR="0088715D" w:rsidRPr="00392122" w:rsidRDefault="00AC4E94" w:rsidP="00AC4E94">
      <w:pPr>
        <w:ind w:firstLine="708"/>
        <w:jc w:val="both"/>
        <w:rPr>
          <w:szCs w:val="24"/>
        </w:rPr>
      </w:pPr>
      <w:r w:rsidRPr="00392122">
        <w:rPr>
          <w:szCs w:val="24"/>
        </w:rPr>
        <w:t>Fort</w:t>
      </w:r>
      <w:r w:rsidR="00E9527C">
        <w:rPr>
          <w:szCs w:val="24"/>
        </w:rPr>
        <w:t>e</w:t>
      </w:r>
      <w:r w:rsidRPr="00392122">
        <w:rPr>
          <w:szCs w:val="24"/>
        </w:rPr>
        <w:t xml:space="preserve"> de la légitimité que vous nous avez donnée par ce vote</w:t>
      </w:r>
      <w:r>
        <w:rPr>
          <w:szCs w:val="24"/>
        </w:rPr>
        <w:t xml:space="preserve">, l’intersyndicale qui se définit comme un contre-pouvoir responsable, va donc  </w:t>
      </w:r>
      <w:r w:rsidR="00BC2CA7">
        <w:rPr>
          <w:szCs w:val="24"/>
        </w:rPr>
        <w:t>une nouvelle fois porter ce</w:t>
      </w:r>
      <w:r>
        <w:rPr>
          <w:szCs w:val="24"/>
        </w:rPr>
        <w:t xml:space="preserve"> message.</w:t>
      </w:r>
    </w:p>
    <w:p w:rsidR="0088715D" w:rsidRDefault="00BC2CA7" w:rsidP="00182BD8">
      <w:pPr>
        <w:jc w:val="both"/>
        <w:rPr>
          <w:szCs w:val="24"/>
        </w:rPr>
      </w:pPr>
      <w:r>
        <w:rPr>
          <w:szCs w:val="24"/>
        </w:rPr>
        <w:t>Quelles sont l</w:t>
      </w:r>
      <w:r w:rsidR="0088715D">
        <w:rPr>
          <w:szCs w:val="24"/>
        </w:rPr>
        <w:t>es échéances à venir</w:t>
      </w:r>
      <w:r w:rsidR="00B17782">
        <w:rPr>
          <w:szCs w:val="24"/>
        </w:rPr>
        <w:t xml:space="preserve"> sur ce sujet</w:t>
      </w:r>
      <w:r w:rsidR="0088715D">
        <w:rPr>
          <w:szCs w:val="24"/>
        </w:rPr>
        <w:t> :</w:t>
      </w:r>
    </w:p>
    <w:p w:rsidR="0088715D" w:rsidRPr="0088715D" w:rsidRDefault="00B17782" w:rsidP="0088715D">
      <w:pPr>
        <w:numPr>
          <w:ilvl w:val="0"/>
          <w:numId w:val="2"/>
        </w:numPr>
        <w:jc w:val="both"/>
        <w:rPr>
          <w:szCs w:val="24"/>
        </w:rPr>
      </w:pPr>
      <w:r>
        <w:rPr>
          <w:szCs w:val="24"/>
        </w:rPr>
        <w:t xml:space="preserve">vendredi 7 juillet </w:t>
      </w:r>
      <w:r w:rsidR="0088715D" w:rsidRPr="0088715D">
        <w:rPr>
          <w:szCs w:val="24"/>
        </w:rPr>
        <w:t xml:space="preserve">: rencontre avec </w:t>
      </w:r>
      <w:r w:rsidRPr="0088715D">
        <w:rPr>
          <w:szCs w:val="24"/>
        </w:rPr>
        <w:t>Pascal</w:t>
      </w:r>
      <w:r w:rsidR="0088715D">
        <w:rPr>
          <w:szCs w:val="24"/>
        </w:rPr>
        <w:t xml:space="preserve"> </w:t>
      </w:r>
      <w:proofErr w:type="spellStart"/>
      <w:r w:rsidR="0088715D">
        <w:rPr>
          <w:szCs w:val="24"/>
        </w:rPr>
        <w:t>Lobry</w:t>
      </w:r>
      <w:proofErr w:type="spellEnd"/>
      <w:r w:rsidR="0088715D" w:rsidRPr="0088715D">
        <w:rPr>
          <w:szCs w:val="24"/>
        </w:rPr>
        <w:t xml:space="preserve"> et </w:t>
      </w:r>
      <w:r w:rsidRPr="0088715D">
        <w:rPr>
          <w:szCs w:val="24"/>
        </w:rPr>
        <w:t>Cyril</w:t>
      </w:r>
      <w:r w:rsidR="0088715D">
        <w:rPr>
          <w:szCs w:val="24"/>
        </w:rPr>
        <w:t xml:space="preserve"> Menon</w:t>
      </w:r>
    </w:p>
    <w:p w:rsidR="0088715D" w:rsidRPr="0088715D" w:rsidRDefault="0088715D" w:rsidP="0088715D">
      <w:pPr>
        <w:numPr>
          <w:ilvl w:val="0"/>
          <w:numId w:val="2"/>
        </w:numPr>
        <w:jc w:val="both"/>
        <w:rPr>
          <w:szCs w:val="24"/>
        </w:rPr>
      </w:pPr>
      <w:r w:rsidRPr="0088715D">
        <w:rPr>
          <w:szCs w:val="24"/>
        </w:rPr>
        <w:t>W29</w:t>
      </w:r>
      <w:r w:rsidR="00B17782">
        <w:rPr>
          <w:szCs w:val="24"/>
        </w:rPr>
        <w:t xml:space="preserve"> (semaine du 17 juillet) </w:t>
      </w:r>
      <w:r w:rsidRPr="0088715D">
        <w:rPr>
          <w:szCs w:val="24"/>
        </w:rPr>
        <w:t>: rencontre avec Paul Boudre</w:t>
      </w:r>
    </w:p>
    <w:p w:rsidR="0088715D" w:rsidRDefault="00B17782" w:rsidP="0088715D">
      <w:pPr>
        <w:numPr>
          <w:ilvl w:val="0"/>
          <w:numId w:val="2"/>
        </w:numPr>
        <w:jc w:val="both"/>
        <w:rPr>
          <w:szCs w:val="24"/>
        </w:rPr>
      </w:pPr>
      <w:r>
        <w:rPr>
          <w:szCs w:val="24"/>
        </w:rPr>
        <w:t xml:space="preserve">Mercredi 26 juillet </w:t>
      </w:r>
      <w:r w:rsidR="0088715D" w:rsidRPr="0088715D">
        <w:rPr>
          <w:szCs w:val="24"/>
        </w:rPr>
        <w:t>: Assemblée générale des actionnaires</w:t>
      </w:r>
    </w:p>
    <w:p w:rsidR="00392122" w:rsidRDefault="00182BD8" w:rsidP="00FD124E">
      <w:pPr>
        <w:ind w:firstLine="708"/>
        <w:jc w:val="both"/>
        <w:rPr>
          <w:szCs w:val="24"/>
        </w:rPr>
      </w:pPr>
      <w:r w:rsidRPr="00182BD8">
        <w:rPr>
          <w:b/>
          <w:szCs w:val="24"/>
        </w:rPr>
        <w:t>Pour atteindre l’objectif que vous nous avez fixé par cette consultation</w:t>
      </w:r>
      <w:r>
        <w:rPr>
          <w:szCs w:val="24"/>
        </w:rPr>
        <w:t>, nous étudions actuellement les recours suivants</w:t>
      </w:r>
      <w:r w:rsidR="00AC4E94">
        <w:rPr>
          <w:szCs w:val="24"/>
        </w:rPr>
        <w:t> : juridi</w:t>
      </w:r>
      <w:r w:rsidR="00FD124E">
        <w:rPr>
          <w:szCs w:val="24"/>
        </w:rPr>
        <w:t>ques, politiques et médiatique</w:t>
      </w:r>
      <w:r>
        <w:rPr>
          <w:szCs w:val="24"/>
        </w:rPr>
        <w:t>s</w:t>
      </w:r>
      <w:r w:rsidR="00FD124E">
        <w:rPr>
          <w:szCs w:val="24"/>
        </w:rPr>
        <w:t>. N</w:t>
      </w:r>
      <w:r w:rsidR="00392122" w:rsidRPr="00392122">
        <w:rPr>
          <w:szCs w:val="24"/>
        </w:rPr>
        <w:t>ous regrett</w:t>
      </w:r>
      <w:r>
        <w:rPr>
          <w:szCs w:val="24"/>
        </w:rPr>
        <w:t>eri</w:t>
      </w:r>
      <w:r w:rsidR="00392122" w:rsidRPr="00392122">
        <w:rPr>
          <w:szCs w:val="24"/>
        </w:rPr>
        <w:t>ons</w:t>
      </w:r>
      <w:r>
        <w:rPr>
          <w:szCs w:val="24"/>
        </w:rPr>
        <w:t xml:space="preserve"> </w:t>
      </w:r>
      <w:r w:rsidR="00230C9C">
        <w:rPr>
          <w:szCs w:val="24"/>
        </w:rPr>
        <w:t>d’externaliser ce qui devrait rester une affaire interne à Soitec. N</w:t>
      </w:r>
      <w:r w:rsidR="00392122" w:rsidRPr="00392122">
        <w:rPr>
          <w:szCs w:val="24"/>
        </w:rPr>
        <w:t>ous espérons encore pouvoir parvenir à un compromis dont tout le monde sortirait gagnant</w:t>
      </w:r>
      <w:r w:rsidR="00230C9C">
        <w:rPr>
          <w:szCs w:val="24"/>
        </w:rPr>
        <w:t xml:space="preserve"> et tenons à vous rassurer sur notre volonté de p</w:t>
      </w:r>
      <w:r>
        <w:rPr>
          <w:szCs w:val="24"/>
        </w:rPr>
        <w:t>rotéger notre entreprise</w:t>
      </w:r>
      <w:r w:rsidR="00230C9C">
        <w:rPr>
          <w:szCs w:val="24"/>
        </w:rPr>
        <w:t> : SOITEC.</w:t>
      </w:r>
    </w:p>
    <w:p w:rsidR="00392122" w:rsidRPr="00392122" w:rsidRDefault="00392122" w:rsidP="00B17782">
      <w:pPr>
        <w:ind w:firstLine="708"/>
        <w:jc w:val="center"/>
        <w:rPr>
          <w:b/>
          <w:sz w:val="28"/>
          <w:szCs w:val="24"/>
        </w:rPr>
      </w:pPr>
      <w:r w:rsidRPr="00392122">
        <w:rPr>
          <w:b/>
          <w:sz w:val="28"/>
          <w:szCs w:val="24"/>
        </w:rPr>
        <w:t>NOUS VOUS TIENDRONS AU COURANT</w:t>
      </w:r>
      <w:r w:rsidR="00230C9C">
        <w:rPr>
          <w:b/>
          <w:sz w:val="28"/>
          <w:szCs w:val="24"/>
        </w:rPr>
        <w:t xml:space="preserve"> DE LA SUITE…</w:t>
      </w:r>
    </w:p>
    <w:sectPr w:rsidR="00392122" w:rsidRPr="00392122" w:rsidSect="00B17782">
      <w:pgSz w:w="11906" w:h="16838"/>
      <w:pgMar w:top="142"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10283"/>
    <w:multiLevelType w:val="hybridMultilevel"/>
    <w:tmpl w:val="14EE72F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54DA6C65"/>
    <w:multiLevelType w:val="hybridMultilevel"/>
    <w:tmpl w:val="D400C3C4"/>
    <w:lvl w:ilvl="0" w:tplc="85F47E7C">
      <w:numFmt w:val="bullet"/>
      <w:lvlText w:val=""/>
      <w:lvlJc w:val="left"/>
      <w:pPr>
        <w:ind w:left="1068" w:hanging="360"/>
      </w:pPr>
      <w:rPr>
        <w:rFonts w:ascii="Symbol" w:eastAsia="Calibri" w:hAnsi="Symbol" w:cs="Times New Roman" w:hint="default"/>
        <w:b w:val="0"/>
        <w:sz w:val="22"/>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C5690C"/>
    <w:rsid w:val="000031ED"/>
    <w:rsid w:val="000328A2"/>
    <w:rsid w:val="00037EDA"/>
    <w:rsid w:val="0004068D"/>
    <w:rsid w:val="000470D3"/>
    <w:rsid w:val="00051114"/>
    <w:rsid w:val="00055C24"/>
    <w:rsid w:val="00064533"/>
    <w:rsid w:val="0008075C"/>
    <w:rsid w:val="000857FF"/>
    <w:rsid w:val="00096972"/>
    <w:rsid w:val="000B42A5"/>
    <w:rsid w:val="000C13F9"/>
    <w:rsid w:val="000C7584"/>
    <w:rsid w:val="000D0489"/>
    <w:rsid w:val="000D24A7"/>
    <w:rsid w:val="000E6776"/>
    <w:rsid w:val="00115B37"/>
    <w:rsid w:val="001206ED"/>
    <w:rsid w:val="00127244"/>
    <w:rsid w:val="00127A84"/>
    <w:rsid w:val="00154580"/>
    <w:rsid w:val="00160760"/>
    <w:rsid w:val="00162668"/>
    <w:rsid w:val="00182BD8"/>
    <w:rsid w:val="00184051"/>
    <w:rsid w:val="00186CDB"/>
    <w:rsid w:val="001C2293"/>
    <w:rsid w:val="001E18FB"/>
    <w:rsid w:val="001F569D"/>
    <w:rsid w:val="001F5DDC"/>
    <w:rsid w:val="00210594"/>
    <w:rsid w:val="00223983"/>
    <w:rsid w:val="00230C9C"/>
    <w:rsid w:val="00255D79"/>
    <w:rsid w:val="00260BBA"/>
    <w:rsid w:val="00266950"/>
    <w:rsid w:val="002C3B47"/>
    <w:rsid w:val="002C6FF1"/>
    <w:rsid w:val="002D2D01"/>
    <w:rsid w:val="002E45ED"/>
    <w:rsid w:val="002E4E1F"/>
    <w:rsid w:val="002E72A9"/>
    <w:rsid w:val="00303947"/>
    <w:rsid w:val="0030545C"/>
    <w:rsid w:val="00384989"/>
    <w:rsid w:val="00392122"/>
    <w:rsid w:val="00395F20"/>
    <w:rsid w:val="003969A2"/>
    <w:rsid w:val="003A3F0B"/>
    <w:rsid w:val="003A6EF1"/>
    <w:rsid w:val="003D2697"/>
    <w:rsid w:val="003D2ADA"/>
    <w:rsid w:val="003E1F44"/>
    <w:rsid w:val="003E5EAA"/>
    <w:rsid w:val="00402813"/>
    <w:rsid w:val="00404553"/>
    <w:rsid w:val="00406668"/>
    <w:rsid w:val="00426F1D"/>
    <w:rsid w:val="004320A1"/>
    <w:rsid w:val="0043247E"/>
    <w:rsid w:val="00436316"/>
    <w:rsid w:val="00441537"/>
    <w:rsid w:val="00447E87"/>
    <w:rsid w:val="0045161E"/>
    <w:rsid w:val="00456E8D"/>
    <w:rsid w:val="00461F77"/>
    <w:rsid w:val="00470803"/>
    <w:rsid w:val="0047368A"/>
    <w:rsid w:val="004773C5"/>
    <w:rsid w:val="00490D74"/>
    <w:rsid w:val="004A5252"/>
    <w:rsid w:val="004B1C93"/>
    <w:rsid w:val="004B29BF"/>
    <w:rsid w:val="004C23D4"/>
    <w:rsid w:val="004C3DC2"/>
    <w:rsid w:val="004D5DA7"/>
    <w:rsid w:val="004D6240"/>
    <w:rsid w:val="004D72A7"/>
    <w:rsid w:val="004F3E7A"/>
    <w:rsid w:val="004F5B7D"/>
    <w:rsid w:val="00510979"/>
    <w:rsid w:val="0053130F"/>
    <w:rsid w:val="005429EA"/>
    <w:rsid w:val="0056055C"/>
    <w:rsid w:val="00572CE9"/>
    <w:rsid w:val="00584CB8"/>
    <w:rsid w:val="005C0498"/>
    <w:rsid w:val="005D2B25"/>
    <w:rsid w:val="005E085D"/>
    <w:rsid w:val="005E1C97"/>
    <w:rsid w:val="005E3DC9"/>
    <w:rsid w:val="005E52AF"/>
    <w:rsid w:val="005F0CB8"/>
    <w:rsid w:val="006001EC"/>
    <w:rsid w:val="00620FFA"/>
    <w:rsid w:val="00627612"/>
    <w:rsid w:val="00630361"/>
    <w:rsid w:val="0065789F"/>
    <w:rsid w:val="00660DED"/>
    <w:rsid w:val="00663160"/>
    <w:rsid w:val="00677435"/>
    <w:rsid w:val="00677825"/>
    <w:rsid w:val="00693F51"/>
    <w:rsid w:val="006942E9"/>
    <w:rsid w:val="006A4B06"/>
    <w:rsid w:val="006A743A"/>
    <w:rsid w:val="006B3DCD"/>
    <w:rsid w:val="006D5C9B"/>
    <w:rsid w:val="006E016B"/>
    <w:rsid w:val="006E6DBE"/>
    <w:rsid w:val="00701226"/>
    <w:rsid w:val="00706614"/>
    <w:rsid w:val="00720C59"/>
    <w:rsid w:val="0075464E"/>
    <w:rsid w:val="0076047D"/>
    <w:rsid w:val="00760C12"/>
    <w:rsid w:val="00770825"/>
    <w:rsid w:val="00776301"/>
    <w:rsid w:val="00780155"/>
    <w:rsid w:val="0078229F"/>
    <w:rsid w:val="00782B53"/>
    <w:rsid w:val="007A1827"/>
    <w:rsid w:val="007C1476"/>
    <w:rsid w:val="007C2438"/>
    <w:rsid w:val="007D34D3"/>
    <w:rsid w:val="007E2820"/>
    <w:rsid w:val="007F0AC8"/>
    <w:rsid w:val="00832831"/>
    <w:rsid w:val="00847F80"/>
    <w:rsid w:val="0087390A"/>
    <w:rsid w:val="00873D10"/>
    <w:rsid w:val="00873FA0"/>
    <w:rsid w:val="0088715D"/>
    <w:rsid w:val="0089398C"/>
    <w:rsid w:val="00895441"/>
    <w:rsid w:val="008967CE"/>
    <w:rsid w:val="008B0873"/>
    <w:rsid w:val="008C07DE"/>
    <w:rsid w:val="008D4786"/>
    <w:rsid w:val="008D7AF1"/>
    <w:rsid w:val="008E221A"/>
    <w:rsid w:val="008E47F0"/>
    <w:rsid w:val="008E6D69"/>
    <w:rsid w:val="00911A5B"/>
    <w:rsid w:val="009221F6"/>
    <w:rsid w:val="00923593"/>
    <w:rsid w:val="009255D5"/>
    <w:rsid w:val="00933E55"/>
    <w:rsid w:val="00935658"/>
    <w:rsid w:val="00945785"/>
    <w:rsid w:val="00972943"/>
    <w:rsid w:val="009908D6"/>
    <w:rsid w:val="009A788E"/>
    <w:rsid w:val="009B5CD6"/>
    <w:rsid w:val="009C6025"/>
    <w:rsid w:val="009E1730"/>
    <w:rsid w:val="00A20FC0"/>
    <w:rsid w:val="00A227AB"/>
    <w:rsid w:val="00A45CE4"/>
    <w:rsid w:val="00A615DF"/>
    <w:rsid w:val="00A67174"/>
    <w:rsid w:val="00A7127E"/>
    <w:rsid w:val="00A729CA"/>
    <w:rsid w:val="00AA0330"/>
    <w:rsid w:val="00AA3A0A"/>
    <w:rsid w:val="00AC30ED"/>
    <w:rsid w:val="00AC4708"/>
    <w:rsid w:val="00AC4E94"/>
    <w:rsid w:val="00AD3D42"/>
    <w:rsid w:val="00AE033E"/>
    <w:rsid w:val="00AF64F8"/>
    <w:rsid w:val="00B14BDA"/>
    <w:rsid w:val="00B17782"/>
    <w:rsid w:val="00B24E78"/>
    <w:rsid w:val="00B25FC1"/>
    <w:rsid w:val="00B40812"/>
    <w:rsid w:val="00B40E0A"/>
    <w:rsid w:val="00B5062E"/>
    <w:rsid w:val="00B51E04"/>
    <w:rsid w:val="00B5511D"/>
    <w:rsid w:val="00B75CC2"/>
    <w:rsid w:val="00B75D8A"/>
    <w:rsid w:val="00B84F48"/>
    <w:rsid w:val="00B91003"/>
    <w:rsid w:val="00BA2EBA"/>
    <w:rsid w:val="00BB5067"/>
    <w:rsid w:val="00BC08F6"/>
    <w:rsid w:val="00BC2CA7"/>
    <w:rsid w:val="00BD0A3A"/>
    <w:rsid w:val="00BD5735"/>
    <w:rsid w:val="00BE1FDF"/>
    <w:rsid w:val="00BE4624"/>
    <w:rsid w:val="00C11442"/>
    <w:rsid w:val="00C23814"/>
    <w:rsid w:val="00C349E0"/>
    <w:rsid w:val="00C44500"/>
    <w:rsid w:val="00C50166"/>
    <w:rsid w:val="00C5690C"/>
    <w:rsid w:val="00C6152E"/>
    <w:rsid w:val="00C629B0"/>
    <w:rsid w:val="00C6447E"/>
    <w:rsid w:val="00C77E00"/>
    <w:rsid w:val="00C81E5F"/>
    <w:rsid w:val="00C96211"/>
    <w:rsid w:val="00C96694"/>
    <w:rsid w:val="00CA6004"/>
    <w:rsid w:val="00CA6590"/>
    <w:rsid w:val="00CD35F0"/>
    <w:rsid w:val="00CD56C5"/>
    <w:rsid w:val="00CE506E"/>
    <w:rsid w:val="00D01EF0"/>
    <w:rsid w:val="00D057A7"/>
    <w:rsid w:val="00D32EFA"/>
    <w:rsid w:val="00D359DD"/>
    <w:rsid w:val="00D47702"/>
    <w:rsid w:val="00D951AB"/>
    <w:rsid w:val="00D95906"/>
    <w:rsid w:val="00DA2E58"/>
    <w:rsid w:val="00DA7B0C"/>
    <w:rsid w:val="00DB0DC9"/>
    <w:rsid w:val="00DB78A2"/>
    <w:rsid w:val="00DE23A6"/>
    <w:rsid w:val="00DF6A67"/>
    <w:rsid w:val="00E01CDB"/>
    <w:rsid w:val="00E06A36"/>
    <w:rsid w:val="00E22933"/>
    <w:rsid w:val="00E259AA"/>
    <w:rsid w:val="00E50653"/>
    <w:rsid w:val="00E70717"/>
    <w:rsid w:val="00E7142D"/>
    <w:rsid w:val="00E726C9"/>
    <w:rsid w:val="00E91D7B"/>
    <w:rsid w:val="00E9527C"/>
    <w:rsid w:val="00EE05A5"/>
    <w:rsid w:val="00EE501E"/>
    <w:rsid w:val="00EF3038"/>
    <w:rsid w:val="00F0242C"/>
    <w:rsid w:val="00F044FA"/>
    <w:rsid w:val="00F22978"/>
    <w:rsid w:val="00F35EE7"/>
    <w:rsid w:val="00F539B2"/>
    <w:rsid w:val="00F63137"/>
    <w:rsid w:val="00F63B6E"/>
    <w:rsid w:val="00FA6BF4"/>
    <w:rsid w:val="00FB364A"/>
    <w:rsid w:val="00FC3B2B"/>
    <w:rsid w:val="00FC5AA7"/>
    <w:rsid w:val="00FD124E"/>
    <w:rsid w:val="00FD323B"/>
    <w:rsid w:val="00FE23CE"/>
    <w:rsid w:val="00FF2556"/>
    <w:rsid w:val="00FF29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E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761357">
      <w:bodyDiv w:val="1"/>
      <w:marLeft w:val="0"/>
      <w:marRight w:val="0"/>
      <w:marTop w:val="0"/>
      <w:marBottom w:val="0"/>
      <w:divBdr>
        <w:top w:val="none" w:sz="0" w:space="0" w:color="auto"/>
        <w:left w:val="none" w:sz="0" w:space="0" w:color="auto"/>
        <w:bottom w:val="none" w:sz="0" w:space="0" w:color="auto"/>
        <w:right w:val="none" w:sz="0" w:space="0" w:color="auto"/>
      </w:divBdr>
    </w:div>
    <w:div w:id="1312324844">
      <w:bodyDiv w:val="1"/>
      <w:marLeft w:val="0"/>
      <w:marRight w:val="0"/>
      <w:marTop w:val="0"/>
      <w:marBottom w:val="0"/>
      <w:divBdr>
        <w:top w:val="none" w:sz="0" w:space="0" w:color="auto"/>
        <w:left w:val="none" w:sz="0" w:space="0" w:color="auto"/>
        <w:bottom w:val="none" w:sz="0" w:space="0" w:color="auto"/>
        <w:right w:val="none" w:sz="0" w:space="0" w:color="auto"/>
      </w:divBdr>
    </w:div>
    <w:div w:id="1473138038">
      <w:bodyDiv w:val="1"/>
      <w:marLeft w:val="0"/>
      <w:marRight w:val="0"/>
      <w:marTop w:val="0"/>
      <w:marBottom w:val="0"/>
      <w:divBdr>
        <w:top w:val="none" w:sz="0" w:space="0" w:color="auto"/>
        <w:left w:val="none" w:sz="0" w:space="0" w:color="auto"/>
        <w:bottom w:val="none" w:sz="0" w:space="0" w:color="auto"/>
        <w:right w:val="none" w:sz="0" w:space="0" w:color="auto"/>
      </w:divBdr>
    </w:div>
    <w:div w:id="21348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Soitec</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jcg</dc:creator>
  <cp:lastModifiedBy>ela</cp:lastModifiedBy>
  <cp:revision>2</cp:revision>
  <dcterms:created xsi:type="dcterms:W3CDTF">2017-07-16T15:53:00Z</dcterms:created>
  <dcterms:modified xsi:type="dcterms:W3CDTF">2017-07-16T15:53:00Z</dcterms:modified>
</cp:coreProperties>
</file>